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BC31" w14:textId="0D845433" w:rsidR="000D694B" w:rsidRPr="000D694B" w:rsidRDefault="008B59D5" w:rsidP="000D694B">
      <w:pPr>
        <w:pStyle w:val="Heading1"/>
        <w:spacing w:before="0" w:beforeAutospacing="0" w:after="360" w:afterAutospacing="0" w:line="240" w:lineRule="auto"/>
        <w:jc w:val="center"/>
        <w:rPr>
          <w:rFonts w:ascii="Georgia" w:hAnsi="Georgia" w:cs="Times New Roman"/>
          <w:color w:val="auto"/>
          <w:sz w:val="36"/>
          <w:szCs w:val="36"/>
        </w:rPr>
      </w:pPr>
      <w:r>
        <w:rPr>
          <w:noProof/>
        </w:rPr>
        <mc:AlternateContent>
          <mc:Choice Requires="wps">
            <w:drawing>
              <wp:anchor distT="0" distB="0" distL="0" distR="0" simplePos="0" relativeHeight="251659264" behindDoc="0" locked="0" layoutInCell="1" allowOverlap="1" wp14:anchorId="1ED068AC" wp14:editId="79E814B9">
                <wp:simplePos x="0" y="0"/>
                <wp:positionH relativeFrom="page">
                  <wp:posOffset>502920</wp:posOffset>
                </wp:positionH>
                <wp:positionV relativeFrom="page">
                  <wp:posOffset>407035</wp:posOffset>
                </wp:positionV>
                <wp:extent cx="226695" cy="3456940"/>
                <wp:effectExtent l="0" t="0" r="1905" b="0"/>
                <wp:wrapNone/>
                <wp:docPr id="76680119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695" cy="3456940"/>
                        </a:xfrm>
                        <a:custGeom>
                          <a:avLst/>
                          <a:gdLst/>
                          <a:ahLst/>
                          <a:cxnLst/>
                          <a:rect l="l" t="t" r="r" b="b"/>
                          <a:pathLst>
                            <a:path w="188595" h="3456940">
                              <a:moveTo>
                                <a:pt x="188468" y="0"/>
                              </a:moveTo>
                              <a:lnTo>
                                <a:pt x="0" y="0"/>
                              </a:lnTo>
                              <a:lnTo>
                                <a:pt x="0" y="3456431"/>
                              </a:lnTo>
                              <a:lnTo>
                                <a:pt x="188468" y="3456431"/>
                              </a:lnTo>
                              <a:lnTo>
                                <a:pt x="188468" y="0"/>
                              </a:lnTo>
                              <a:close/>
                            </a:path>
                          </a:pathLst>
                        </a:custGeom>
                        <a:solidFill>
                          <a:srgbClr val="D00D0D"/>
                        </a:solidFill>
                      </wps:spPr>
                      <wps:txbx>
                        <w:txbxContent>
                          <w:p w14:paraId="0DA76E10" w14:textId="77777777" w:rsidR="008B59D5" w:rsidRDefault="008B59D5" w:rsidP="008B59D5">
                            <w:pPr>
                              <w:jc w:val="center"/>
                            </w:pPr>
                            <w:r w:rsidRPr="00B13AAB">
                              <w:rPr>
                                <w:noProof/>
                              </w:rPr>
                              <w:drawing>
                                <wp:inline distT="0" distB="0" distL="0" distR="0" wp14:anchorId="16AFDC22" wp14:editId="739CB37B">
                                  <wp:extent cx="139700" cy="3219450"/>
                                  <wp:effectExtent l="0" t="0" r="0" b="0"/>
                                  <wp:docPr id="8895909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3219450"/>
                                          </a:xfrm>
                                          <a:prstGeom prst="rect">
                                            <a:avLst/>
                                          </a:prstGeom>
                                          <a:noFill/>
                                          <a:ln>
                                            <a:noFill/>
                                          </a:ln>
                                        </pic:spPr>
                                      </pic:pic>
                                    </a:graphicData>
                                  </a:graphic>
                                </wp:inline>
                              </w:drawing>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ED068AC" id="Graphic 9" o:spid="_x0000_s1026" style="position:absolute;left:0;text-align:left;margin-left:39.6pt;margin-top:32.05pt;width:17.85pt;height:272.2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188595,3456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" adj="-11796480,,5400" path="m188468,l,,,3456431r188468,l188468,xe" fillcolor="#d00d0d" stroked="f">
                <v:stroke joinstyle="miter"/>
                <v:formulas/>
                <v:path arrowok="t" o:connecttype="custom" textboxrect="0,0,188595,3456940"/>
                <v:textbox inset="0,0,0,0">
                  <w:txbxContent>
                    <w:p w14:paraId="0DA76E10" w14:textId="77777777" w:rsidR="008B59D5" w:rsidRDefault="008B59D5" w:rsidP="008B59D5">
                      <w:pPr>
                        <w:jc w:val="center"/>
                      </w:pPr>
                      <w:r w:rsidRPr="00B13AAB">
                        <w:rPr>
                          <w:noProof/>
                        </w:rPr>
                        <w:drawing>
                          <wp:inline distT="0" distB="0" distL="0" distR="0" wp14:anchorId="16AFDC22" wp14:editId="739CB37B">
                            <wp:extent cx="139700" cy="3219450"/>
                            <wp:effectExtent l="0" t="0" r="0" b="0"/>
                            <wp:docPr id="8895909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 cy="3219450"/>
                                    </a:xfrm>
                                    <a:prstGeom prst="rect">
                                      <a:avLst/>
                                    </a:prstGeom>
                                    <a:noFill/>
                                    <a:ln>
                                      <a:noFill/>
                                    </a:ln>
                                  </pic:spPr>
                                </pic:pic>
                              </a:graphicData>
                            </a:graphic>
                          </wp:inline>
                        </w:drawing>
                      </w:r>
                    </w:p>
                  </w:txbxContent>
                </v:textbox>
                <w10:wrap anchorx="page" anchory="page"/>
              </v:shape>
            </w:pict>
          </mc:Fallback>
        </mc:AlternateContent>
      </w:r>
      <w:r w:rsidR="004D3578" w:rsidRPr="008B59D5">
        <w:rPr>
          <w:rFonts w:ascii="Georgia" w:hAnsi="Georgia" w:cs="Times New Roman"/>
          <w:color w:val="auto"/>
          <w:sz w:val="36"/>
          <w:szCs w:val="36"/>
        </w:rPr>
        <w:t xml:space="preserve">Assess </w:t>
      </w:r>
      <w:r w:rsidRPr="008B59D5">
        <w:rPr>
          <w:rFonts w:ascii="Georgia" w:hAnsi="Georgia" w:cs="Times New Roman"/>
          <w:color w:val="auto"/>
          <w:sz w:val="36"/>
          <w:szCs w:val="36"/>
        </w:rPr>
        <w:t xml:space="preserve">The Awareness Level Among </w:t>
      </w:r>
      <w:r w:rsidR="004D3578" w:rsidRPr="008B59D5">
        <w:rPr>
          <w:rFonts w:ascii="Georgia" w:hAnsi="Georgia" w:cs="Times New Roman"/>
          <w:color w:val="auto"/>
          <w:sz w:val="36"/>
          <w:szCs w:val="36"/>
        </w:rPr>
        <w:t xml:space="preserve">Makkah </w:t>
      </w:r>
      <w:r w:rsidRPr="008B59D5">
        <w:rPr>
          <w:rFonts w:ascii="Georgia" w:hAnsi="Georgia" w:cs="Times New Roman"/>
          <w:color w:val="auto"/>
          <w:sz w:val="36"/>
          <w:szCs w:val="36"/>
        </w:rPr>
        <w:t>Hospitals Regarding Occurrence Variance Reporting</w:t>
      </w:r>
    </w:p>
    <w:p w14:paraId="5F496A5D" w14:textId="2E4605BF" w:rsidR="000D694B" w:rsidRPr="000D694B" w:rsidRDefault="004D3578" w:rsidP="000D694B">
      <w:pPr>
        <w:spacing w:before="0" w:beforeAutospacing="0" w:after="0" w:afterAutospacing="0" w:line="240" w:lineRule="auto"/>
        <w:jc w:val="center"/>
        <w:rPr>
          <w:rFonts w:cs="Times New Roman"/>
          <w:b/>
          <w:bCs/>
          <w:vertAlign w:val="superscript"/>
          <w:lang w:val="en-AU"/>
        </w:rPr>
      </w:pPr>
      <w:r w:rsidRPr="000D694B">
        <w:rPr>
          <w:rFonts w:cs="Times New Roman"/>
          <w:b/>
          <w:bCs/>
          <w:lang w:val="en-AU"/>
        </w:rPr>
        <w:t>Dr. Asrar Mansoor Alrajhi</w:t>
      </w:r>
      <w:proofErr w:type="gramStart"/>
      <w:r w:rsidR="008B59D5" w:rsidRPr="000D694B">
        <w:rPr>
          <w:rFonts w:cs="Times New Roman"/>
          <w:b/>
          <w:bCs/>
          <w:vertAlign w:val="superscript"/>
          <w:lang w:val="en-AU"/>
        </w:rPr>
        <w:t>1</w:t>
      </w:r>
      <w:r w:rsidR="000D694B" w:rsidRPr="000D694B">
        <w:rPr>
          <w:rFonts w:cs="Times New Roman"/>
          <w:b/>
          <w:bCs/>
          <w:lang w:val="en-AU"/>
        </w:rPr>
        <w:t>,Ms.</w:t>
      </w:r>
      <w:proofErr w:type="gramEnd"/>
      <w:r w:rsidR="000D694B" w:rsidRPr="000D694B">
        <w:rPr>
          <w:rFonts w:cs="Times New Roman"/>
          <w:b/>
          <w:bCs/>
          <w:lang w:val="en-AU"/>
        </w:rPr>
        <w:t xml:space="preserve"> </w:t>
      </w:r>
      <w:r w:rsidR="000D694B" w:rsidRPr="000D694B">
        <w:rPr>
          <w:rFonts w:cs="Times New Roman"/>
          <w:b/>
          <w:bCs/>
        </w:rPr>
        <w:t>Fayza Ahmed Hassanin</w:t>
      </w:r>
      <w:proofErr w:type="gramStart"/>
      <w:r w:rsidR="000D694B" w:rsidRPr="000D694B">
        <w:rPr>
          <w:rFonts w:cs="Times New Roman"/>
          <w:b/>
          <w:bCs/>
          <w:vertAlign w:val="superscript"/>
        </w:rPr>
        <w:t>2</w:t>
      </w:r>
      <w:r w:rsidR="000D694B" w:rsidRPr="000D694B">
        <w:rPr>
          <w:rFonts w:cs="Times New Roman"/>
          <w:b/>
          <w:bCs/>
        </w:rPr>
        <w:t>,Dr.</w:t>
      </w:r>
      <w:proofErr w:type="gramEnd"/>
      <w:r w:rsidR="000D694B" w:rsidRPr="000D694B">
        <w:rPr>
          <w:rFonts w:cs="Times New Roman"/>
          <w:b/>
          <w:bCs/>
        </w:rPr>
        <w:t xml:space="preserve"> Abeer Ali Alharbi</w:t>
      </w:r>
      <w:proofErr w:type="gramStart"/>
      <w:r w:rsidR="000D694B" w:rsidRPr="000D694B">
        <w:rPr>
          <w:rFonts w:cs="Times New Roman"/>
          <w:b/>
          <w:bCs/>
          <w:vertAlign w:val="superscript"/>
        </w:rPr>
        <w:t>3</w:t>
      </w:r>
      <w:r w:rsidR="000D694B" w:rsidRPr="000D694B">
        <w:rPr>
          <w:rFonts w:cs="Times New Roman"/>
          <w:b/>
          <w:bCs/>
        </w:rPr>
        <w:t>,Ms.</w:t>
      </w:r>
      <w:proofErr w:type="gramEnd"/>
      <w:r w:rsidR="000D694B" w:rsidRPr="000D694B">
        <w:rPr>
          <w:rFonts w:cs="Times New Roman"/>
          <w:b/>
          <w:bCs/>
        </w:rPr>
        <w:t xml:space="preserve"> Aisha Mahmoud Alshallqiti</w:t>
      </w:r>
      <w:proofErr w:type="gramStart"/>
      <w:r w:rsidR="000D694B" w:rsidRPr="000D694B">
        <w:rPr>
          <w:rFonts w:cs="Times New Roman"/>
          <w:b/>
          <w:bCs/>
          <w:vertAlign w:val="superscript"/>
        </w:rPr>
        <w:t>4</w:t>
      </w:r>
      <w:r w:rsidR="000D694B" w:rsidRPr="000D694B">
        <w:rPr>
          <w:rFonts w:cs="Times New Roman"/>
          <w:b/>
          <w:bCs/>
          <w:lang w:val="en-AU"/>
        </w:rPr>
        <w:t>,Dr.</w:t>
      </w:r>
      <w:proofErr w:type="gramEnd"/>
      <w:r w:rsidR="000D694B" w:rsidRPr="000D694B">
        <w:rPr>
          <w:rFonts w:cs="Times New Roman"/>
          <w:b/>
          <w:bCs/>
          <w:lang w:val="en-AU"/>
        </w:rPr>
        <w:t xml:space="preserve"> </w:t>
      </w:r>
      <w:r w:rsidR="000D694B" w:rsidRPr="000D694B">
        <w:rPr>
          <w:rFonts w:cs="Times New Roman"/>
          <w:b/>
          <w:bCs/>
        </w:rPr>
        <w:t>Haneen Ameen Sarhan</w:t>
      </w:r>
      <w:proofErr w:type="gramStart"/>
      <w:r w:rsidR="000D694B" w:rsidRPr="000D694B">
        <w:rPr>
          <w:rFonts w:cs="Times New Roman"/>
          <w:b/>
          <w:bCs/>
          <w:vertAlign w:val="superscript"/>
        </w:rPr>
        <w:t>5</w:t>
      </w:r>
      <w:r w:rsidR="000D694B" w:rsidRPr="000D694B">
        <w:rPr>
          <w:rFonts w:cs="Times New Roman"/>
          <w:b/>
          <w:bCs/>
        </w:rPr>
        <w:t>,Dr.</w:t>
      </w:r>
      <w:proofErr w:type="gramEnd"/>
      <w:r w:rsidR="000D694B" w:rsidRPr="000D694B">
        <w:rPr>
          <w:rFonts w:cs="Times New Roman"/>
          <w:b/>
          <w:bCs/>
        </w:rPr>
        <w:t xml:space="preserve"> </w:t>
      </w:r>
      <w:r w:rsidR="000D694B" w:rsidRPr="000D694B">
        <w:rPr>
          <w:rFonts w:cs="Times New Roman"/>
          <w:b/>
          <w:bCs/>
          <w:shd w:val="clear" w:color="auto" w:fill="FFFFFF"/>
        </w:rPr>
        <w:t>Essam Abdulrahim Khan</w:t>
      </w:r>
      <w:proofErr w:type="gramStart"/>
      <w:r w:rsidR="000D694B" w:rsidRPr="000D694B">
        <w:rPr>
          <w:rFonts w:cs="Times New Roman"/>
          <w:b/>
          <w:bCs/>
          <w:shd w:val="clear" w:color="auto" w:fill="FFFFFF"/>
          <w:vertAlign w:val="superscript"/>
        </w:rPr>
        <w:t>6</w:t>
      </w:r>
      <w:r w:rsidR="000D694B" w:rsidRPr="000D694B">
        <w:rPr>
          <w:rFonts w:cs="Times New Roman"/>
          <w:b/>
          <w:bCs/>
        </w:rPr>
        <w:t>,Dr.</w:t>
      </w:r>
      <w:proofErr w:type="gramEnd"/>
      <w:r w:rsidR="000D694B" w:rsidRPr="000D694B">
        <w:rPr>
          <w:rFonts w:cs="Times New Roman"/>
          <w:b/>
          <w:bCs/>
        </w:rPr>
        <w:t xml:space="preserve"> Mohamed Yousri</w:t>
      </w:r>
      <w:r w:rsidR="000D694B" w:rsidRPr="000D694B">
        <w:rPr>
          <w:rFonts w:cs="Times New Roman"/>
          <w:b/>
          <w:bCs/>
          <w:lang w:val="en-AU"/>
        </w:rPr>
        <w:t xml:space="preserve"> Mohamad</w:t>
      </w:r>
      <w:r w:rsidR="000D694B" w:rsidRPr="000D694B">
        <w:rPr>
          <w:rFonts w:cs="Times New Roman"/>
          <w:b/>
          <w:bCs/>
          <w:vertAlign w:val="superscript"/>
          <w:lang w:val="en-AU"/>
        </w:rPr>
        <w:t>7</w:t>
      </w:r>
    </w:p>
    <w:p w14:paraId="46880775" w14:textId="7C39D42F" w:rsidR="004D3578" w:rsidRPr="007501CB" w:rsidRDefault="004D3578" w:rsidP="008B59D5">
      <w:pPr>
        <w:spacing w:before="0" w:beforeAutospacing="0" w:after="0" w:afterAutospacing="0" w:line="240" w:lineRule="auto"/>
        <w:rPr>
          <w:rFonts w:cs="Times New Roman"/>
          <w:b/>
          <w:bCs/>
          <w:sz w:val="22"/>
          <w:szCs w:val="22"/>
          <w:vertAlign w:val="superscript"/>
          <w:lang w:val="en-AU"/>
        </w:rPr>
      </w:pPr>
    </w:p>
    <w:p w14:paraId="00D2E1AF" w14:textId="5B2D0DEA" w:rsidR="004D3578" w:rsidRPr="000D694B" w:rsidRDefault="008B59D5" w:rsidP="000D694B">
      <w:pPr>
        <w:spacing w:before="0" w:beforeAutospacing="0" w:after="0" w:afterAutospacing="0" w:line="240" w:lineRule="auto"/>
        <w:jc w:val="center"/>
        <w:rPr>
          <w:rFonts w:cs="Times New Roman"/>
          <w:i/>
          <w:iCs/>
          <w:sz w:val="18"/>
          <w:szCs w:val="18"/>
          <w:shd w:val="clear" w:color="auto" w:fill="FFFFFF"/>
        </w:rPr>
      </w:pPr>
      <w:r w:rsidRPr="000D694B">
        <w:rPr>
          <w:rFonts w:cs="Times New Roman"/>
          <w:i/>
          <w:iCs/>
          <w:sz w:val="18"/>
          <w:szCs w:val="18"/>
          <w:shd w:val="clear" w:color="auto" w:fill="FFFFFF"/>
          <w:vertAlign w:val="superscript"/>
        </w:rPr>
        <w:t>1</w:t>
      </w:r>
      <w:r w:rsidR="004D3578" w:rsidRPr="000D694B">
        <w:rPr>
          <w:rFonts w:cs="Times New Roman"/>
          <w:i/>
          <w:iCs/>
          <w:sz w:val="18"/>
          <w:szCs w:val="18"/>
          <w:shd w:val="clear" w:color="auto" w:fill="FFFFFF"/>
        </w:rPr>
        <w:t xml:space="preserve">Director of Institutional Excellence and </w:t>
      </w:r>
      <w:proofErr w:type="spellStart"/>
      <w:proofErr w:type="gramStart"/>
      <w:r w:rsidR="004D3578" w:rsidRPr="000D694B">
        <w:rPr>
          <w:rFonts w:cs="Times New Roman"/>
          <w:i/>
          <w:iCs/>
          <w:sz w:val="18"/>
          <w:szCs w:val="18"/>
          <w:shd w:val="clear" w:color="auto" w:fill="FFFFFF"/>
        </w:rPr>
        <w:t>Quality</w:t>
      </w:r>
      <w:r w:rsidRPr="000D694B">
        <w:rPr>
          <w:rFonts w:cs="Times New Roman"/>
          <w:i/>
          <w:iCs/>
          <w:sz w:val="18"/>
          <w:szCs w:val="18"/>
          <w:shd w:val="clear" w:color="auto" w:fill="FFFFFF"/>
        </w:rPr>
        <w:t>,</w:t>
      </w:r>
      <w:r w:rsidR="004D3578" w:rsidRPr="000D694B">
        <w:rPr>
          <w:rFonts w:cs="Times New Roman"/>
          <w:i/>
          <w:iCs/>
          <w:sz w:val="18"/>
          <w:szCs w:val="18"/>
          <w:shd w:val="clear" w:color="auto" w:fill="FFFFFF"/>
        </w:rPr>
        <w:t>Medical</w:t>
      </w:r>
      <w:proofErr w:type="spellEnd"/>
      <w:proofErr w:type="gramEnd"/>
      <w:r w:rsidR="004D3578" w:rsidRPr="000D694B">
        <w:rPr>
          <w:rFonts w:cs="Times New Roman"/>
          <w:i/>
          <w:iCs/>
          <w:sz w:val="18"/>
          <w:szCs w:val="18"/>
          <w:shd w:val="clear" w:color="auto" w:fill="FFFFFF"/>
        </w:rPr>
        <w:t xml:space="preserve"> Complex at the Public Services Center in Al </w:t>
      </w:r>
      <w:r w:rsidR="00523F8E" w:rsidRPr="000D694B">
        <w:rPr>
          <w:rFonts w:cs="Times New Roman"/>
          <w:i/>
          <w:iCs/>
          <w:sz w:val="18"/>
          <w:szCs w:val="18"/>
          <w:shd w:val="clear" w:color="auto" w:fill="FFFFFF"/>
        </w:rPr>
        <w:t>Shemaisy</w:t>
      </w:r>
      <w:r w:rsidR="004D3578" w:rsidRPr="000D694B">
        <w:rPr>
          <w:rFonts w:cs="Times New Roman"/>
          <w:i/>
          <w:iCs/>
          <w:sz w:val="18"/>
          <w:szCs w:val="18"/>
        </w:rPr>
        <w:t>, Makkah Healthcare Cluster, Makkah, Saudi Arabia.</w:t>
      </w:r>
    </w:p>
    <w:p w14:paraId="6D38794C" w14:textId="4F573BB0" w:rsidR="004D3578" w:rsidRPr="000D694B" w:rsidRDefault="008B59D5" w:rsidP="000D694B">
      <w:pPr>
        <w:spacing w:before="0" w:beforeAutospacing="0" w:after="0" w:afterAutospacing="0" w:line="240" w:lineRule="auto"/>
        <w:jc w:val="center"/>
        <w:rPr>
          <w:rFonts w:cs="Times New Roman"/>
          <w:i/>
          <w:iCs/>
          <w:sz w:val="18"/>
          <w:szCs w:val="18"/>
          <w:shd w:val="clear" w:color="auto" w:fill="FFFFFF"/>
        </w:rPr>
      </w:pPr>
      <w:r w:rsidRPr="000D694B">
        <w:rPr>
          <w:rFonts w:cs="Times New Roman"/>
          <w:i/>
          <w:iCs/>
          <w:sz w:val="18"/>
          <w:szCs w:val="18"/>
          <w:shd w:val="clear" w:color="auto" w:fill="FFFFFF"/>
          <w:vertAlign w:val="superscript"/>
        </w:rPr>
        <w:t>2</w:t>
      </w:r>
      <w:r w:rsidR="004D3578" w:rsidRPr="000D694B">
        <w:rPr>
          <w:rFonts w:cs="Times New Roman"/>
          <w:i/>
          <w:iCs/>
          <w:sz w:val="18"/>
          <w:szCs w:val="18"/>
          <w:shd w:val="clear" w:color="auto" w:fill="FFFFFF"/>
        </w:rPr>
        <w:t xml:space="preserve">Clinical Governance </w:t>
      </w:r>
      <w:proofErr w:type="spellStart"/>
      <w:proofErr w:type="gramStart"/>
      <w:r w:rsidR="004D3578" w:rsidRPr="000D694B">
        <w:rPr>
          <w:rFonts w:cs="Times New Roman"/>
          <w:i/>
          <w:iCs/>
          <w:sz w:val="18"/>
          <w:szCs w:val="18"/>
          <w:shd w:val="clear" w:color="auto" w:fill="FFFFFF"/>
        </w:rPr>
        <w:t>Manager</w:t>
      </w:r>
      <w:r w:rsidRPr="000D694B">
        <w:rPr>
          <w:rFonts w:cs="Times New Roman"/>
          <w:i/>
          <w:iCs/>
          <w:sz w:val="18"/>
          <w:szCs w:val="18"/>
          <w:shd w:val="clear" w:color="auto" w:fill="FFFFFF"/>
        </w:rPr>
        <w:t>,</w:t>
      </w:r>
      <w:r w:rsidR="004D3578" w:rsidRPr="000D694B">
        <w:rPr>
          <w:rFonts w:cs="Times New Roman"/>
          <w:i/>
          <w:iCs/>
          <w:sz w:val="18"/>
          <w:szCs w:val="18"/>
        </w:rPr>
        <w:t>Institutional</w:t>
      </w:r>
      <w:proofErr w:type="spellEnd"/>
      <w:proofErr w:type="gramEnd"/>
      <w:r w:rsidR="004D3578" w:rsidRPr="000D694B">
        <w:rPr>
          <w:rFonts w:cs="Times New Roman"/>
          <w:i/>
          <w:iCs/>
          <w:sz w:val="18"/>
          <w:szCs w:val="18"/>
        </w:rPr>
        <w:t xml:space="preserve"> Excellence and Quality, Makkah Healthcare Cluster, Makkah, Saudi Arabia.</w:t>
      </w:r>
    </w:p>
    <w:p w14:paraId="0A3DA3AE" w14:textId="6099BDD4" w:rsidR="004D3578" w:rsidRPr="000D694B" w:rsidRDefault="008B59D5" w:rsidP="000D694B">
      <w:pPr>
        <w:spacing w:before="0" w:beforeAutospacing="0" w:after="0" w:afterAutospacing="0" w:line="240" w:lineRule="auto"/>
        <w:jc w:val="center"/>
        <w:rPr>
          <w:rFonts w:cs="Times New Roman"/>
          <w:i/>
          <w:iCs/>
          <w:sz w:val="18"/>
          <w:szCs w:val="18"/>
        </w:rPr>
      </w:pPr>
      <w:r w:rsidRPr="000D694B">
        <w:rPr>
          <w:rFonts w:cs="Times New Roman"/>
          <w:b/>
          <w:bCs/>
          <w:i/>
          <w:iCs/>
          <w:sz w:val="18"/>
          <w:szCs w:val="18"/>
          <w:shd w:val="clear" w:color="auto" w:fill="FFFFFF"/>
          <w:vertAlign w:val="superscript"/>
        </w:rPr>
        <w:t>3</w:t>
      </w:r>
      <w:r w:rsidR="004D3578" w:rsidRPr="000D694B">
        <w:rPr>
          <w:rFonts w:cs="Times New Roman"/>
          <w:i/>
          <w:iCs/>
          <w:sz w:val="18"/>
          <w:szCs w:val="18"/>
          <w:shd w:val="clear" w:color="auto" w:fill="FFFFFF"/>
        </w:rPr>
        <w:t xml:space="preserve">Surgeon </w:t>
      </w:r>
      <w:proofErr w:type="spellStart"/>
      <w:proofErr w:type="gramStart"/>
      <w:r w:rsidR="004D3578" w:rsidRPr="000D694B">
        <w:rPr>
          <w:rFonts w:cs="Times New Roman"/>
          <w:i/>
          <w:iCs/>
          <w:sz w:val="18"/>
          <w:szCs w:val="18"/>
          <w:shd w:val="clear" w:color="auto" w:fill="FFFFFF"/>
        </w:rPr>
        <w:t>Doctor</w:t>
      </w:r>
      <w:r w:rsidRPr="000D694B">
        <w:rPr>
          <w:rFonts w:cs="Times New Roman"/>
          <w:i/>
          <w:iCs/>
          <w:sz w:val="18"/>
          <w:szCs w:val="18"/>
        </w:rPr>
        <w:t>,</w:t>
      </w:r>
      <w:r w:rsidR="004D3578" w:rsidRPr="000D694B">
        <w:rPr>
          <w:rFonts w:cs="Times New Roman"/>
          <w:i/>
          <w:iCs/>
          <w:sz w:val="18"/>
          <w:szCs w:val="18"/>
        </w:rPr>
        <w:t>Primary</w:t>
      </w:r>
      <w:proofErr w:type="spellEnd"/>
      <w:proofErr w:type="gramEnd"/>
      <w:r w:rsidR="004D3578" w:rsidRPr="000D694B">
        <w:rPr>
          <w:rFonts w:cs="Times New Roman"/>
          <w:i/>
          <w:iCs/>
          <w:sz w:val="18"/>
          <w:szCs w:val="18"/>
        </w:rPr>
        <w:t xml:space="preserve"> healthcare center, Makkah Healthcare Cluster, Makkah, Saudi Arabia.</w:t>
      </w:r>
    </w:p>
    <w:p w14:paraId="0F461A71" w14:textId="051467A1" w:rsidR="004D3578" w:rsidRPr="000D694B" w:rsidRDefault="008B59D5" w:rsidP="000D694B">
      <w:pPr>
        <w:spacing w:before="0" w:beforeAutospacing="0" w:after="0" w:afterAutospacing="0" w:line="240" w:lineRule="auto"/>
        <w:jc w:val="center"/>
        <w:rPr>
          <w:rFonts w:cs="Times New Roman"/>
          <w:i/>
          <w:iCs/>
          <w:sz w:val="18"/>
          <w:szCs w:val="18"/>
        </w:rPr>
      </w:pPr>
      <w:r w:rsidRPr="000D694B">
        <w:rPr>
          <w:rFonts w:cs="Times New Roman"/>
          <w:b/>
          <w:bCs/>
          <w:i/>
          <w:iCs/>
          <w:sz w:val="18"/>
          <w:szCs w:val="18"/>
          <w:shd w:val="clear" w:color="auto" w:fill="FFFFFF"/>
          <w:vertAlign w:val="superscript"/>
        </w:rPr>
        <w:t>4</w:t>
      </w:r>
      <w:r w:rsidR="004D3578" w:rsidRPr="000D694B">
        <w:rPr>
          <w:rFonts w:cs="Times New Roman"/>
          <w:i/>
          <w:iCs/>
          <w:sz w:val="18"/>
          <w:szCs w:val="18"/>
          <w:shd w:val="clear" w:color="auto" w:fill="FFFFFF"/>
        </w:rPr>
        <w:t xml:space="preserve">Technician </w:t>
      </w:r>
      <w:proofErr w:type="spellStart"/>
      <w:proofErr w:type="gramStart"/>
      <w:r w:rsidR="004D3578" w:rsidRPr="000D694B">
        <w:rPr>
          <w:rFonts w:cs="Times New Roman"/>
          <w:i/>
          <w:iCs/>
          <w:sz w:val="18"/>
          <w:szCs w:val="18"/>
          <w:shd w:val="clear" w:color="auto" w:fill="FFFFFF"/>
        </w:rPr>
        <w:t>nurse</w:t>
      </w:r>
      <w:r w:rsidRPr="000D694B">
        <w:rPr>
          <w:rFonts w:cs="Times New Roman"/>
          <w:i/>
          <w:iCs/>
          <w:sz w:val="18"/>
          <w:szCs w:val="18"/>
        </w:rPr>
        <w:t>,</w:t>
      </w:r>
      <w:r w:rsidR="004D3578" w:rsidRPr="000D694B">
        <w:rPr>
          <w:rFonts w:cs="Times New Roman"/>
          <w:i/>
          <w:iCs/>
          <w:sz w:val="18"/>
          <w:szCs w:val="18"/>
        </w:rPr>
        <w:t>Primary</w:t>
      </w:r>
      <w:proofErr w:type="spellEnd"/>
      <w:proofErr w:type="gramEnd"/>
      <w:r w:rsidR="004D3578" w:rsidRPr="000D694B">
        <w:rPr>
          <w:rFonts w:cs="Times New Roman"/>
          <w:i/>
          <w:iCs/>
          <w:sz w:val="18"/>
          <w:szCs w:val="18"/>
        </w:rPr>
        <w:t xml:space="preserve"> healthcare center, Makkah Healthcare Cluster, Makkah, Saudi Arabia.</w:t>
      </w:r>
    </w:p>
    <w:p w14:paraId="46BE09A9" w14:textId="7AD83765" w:rsidR="004D3578" w:rsidRPr="000D694B" w:rsidRDefault="008B59D5" w:rsidP="000D694B">
      <w:pPr>
        <w:spacing w:before="0" w:beforeAutospacing="0" w:after="0" w:afterAutospacing="0" w:line="240" w:lineRule="auto"/>
        <w:jc w:val="center"/>
        <w:rPr>
          <w:rFonts w:cs="Times New Roman"/>
          <w:b/>
          <w:bCs/>
          <w:i/>
          <w:iCs/>
          <w:sz w:val="18"/>
          <w:szCs w:val="18"/>
          <w:shd w:val="clear" w:color="auto" w:fill="FFFFFF"/>
        </w:rPr>
      </w:pPr>
      <w:r w:rsidRPr="000D694B">
        <w:rPr>
          <w:rFonts w:cs="Times New Roman"/>
          <w:b/>
          <w:bCs/>
          <w:i/>
          <w:iCs/>
          <w:sz w:val="18"/>
          <w:szCs w:val="18"/>
          <w:shd w:val="clear" w:color="auto" w:fill="FFFFFF"/>
          <w:vertAlign w:val="superscript"/>
        </w:rPr>
        <w:t>5</w:t>
      </w:r>
      <w:r w:rsidR="004D3578" w:rsidRPr="000D694B">
        <w:rPr>
          <w:rFonts w:cs="Times New Roman"/>
          <w:i/>
          <w:iCs/>
          <w:sz w:val="18"/>
          <w:szCs w:val="18"/>
          <w:shd w:val="clear" w:color="auto" w:fill="FFFFFF"/>
        </w:rPr>
        <w:t xml:space="preserve">Monitoring </w:t>
      </w:r>
      <w:proofErr w:type="spellStart"/>
      <w:proofErr w:type="gramStart"/>
      <w:r w:rsidR="004D3578" w:rsidRPr="000D694B">
        <w:rPr>
          <w:rFonts w:cs="Times New Roman"/>
          <w:i/>
          <w:iCs/>
          <w:sz w:val="18"/>
          <w:szCs w:val="18"/>
          <w:shd w:val="clear" w:color="auto" w:fill="FFFFFF"/>
        </w:rPr>
        <w:t>Manager</w:t>
      </w:r>
      <w:r w:rsidRPr="000D694B">
        <w:rPr>
          <w:rFonts w:cs="Times New Roman"/>
          <w:i/>
          <w:iCs/>
          <w:sz w:val="18"/>
          <w:szCs w:val="18"/>
          <w:shd w:val="clear" w:color="auto" w:fill="FFFFFF"/>
        </w:rPr>
        <w:t>,</w:t>
      </w:r>
      <w:r w:rsidR="004D3578" w:rsidRPr="000D694B">
        <w:rPr>
          <w:rFonts w:cs="Times New Roman"/>
          <w:i/>
          <w:iCs/>
          <w:sz w:val="18"/>
          <w:szCs w:val="18"/>
        </w:rPr>
        <w:t>Institutional</w:t>
      </w:r>
      <w:proofErr w:type="spellEnd"/>
      <w:proofErr w:type="gramEnd"/>
      <w:r w:rsidR="004D3578" w:rsidRPr="000D694B">
        <w:rPr>
          <w:rFonts w:cs="Times New Roman"/>
          <w:i/>
          <w:iCs/>
          <w:sz w:val="18"/>
          <w:szCs w:val="18"/>
        </w:rPr>
        <w:t xml:space="preserve"> Excellence and Quality, Makkah Healthcare Cluster, Makkah, Saudi Arabia.</w:t>
      </w:r>
    </w:p>
    <w:p w14:paraId="1FE894C9" w14:textId="45900185" w:rsidR="004D3578" w:rsidRPr="000D694B" w:rsidRDefault="008B59D5" w:rsidP="000D694B">
      <w:pPr>
        <w:spacing w:before="0" w:beforeAutospacing="0" w:after="0" w:afterAutospacing="0" w:line="240" w:lineRule="auto"/>
        <w:jc w:val="center"/>
        <w:rPr>
          <w:rFonts w:cs="Times New Roman"/>
          <w:b/>
          <w:bCs/>
          <w:i/>
          <w:iCs/>
          <w:sz w:val="18"/>
          <w:szCs w:val="18"/>
          <w:shd w:val="clear" w:color="auto" w:fill="FFFFFF"/>
        </w:rPr>
      </w:pPr>
      <w:r w:rsidRPr="000D694B">
        <w:rPr>
          <w:rFonts w:cs="Times New Roman"/>
          <w:i/>
          <w:iCs/>
          <w:sz w:val="18"/>
          <w:szCs w:val="18"/>
          <w:shd w:val="clear" w:color="auto" w:fill="FFFFFF"/>
          <w:vertAlign w:val="superscript"/>
        </w:rPr>
        <w:t>6</w:t>
      </w:r>
      <w:r w:rsidR="004D3578" w:rsidRPr="000D694B">
        <w:rPr>
          <w:rFonts w:cs="Times New Roman"/>
          <w:i/>
          <w:iCs/>
          <w:sz w:val="18"/>
          <w:szCs w:val="18"/>
          <w:shd w:val="clear" w:color="auto" w:fill="FFFFFF"/>
        </w:rPr>
        <w:t xml:space="preserve">Family </w:t>
      </w:r>
      <w:proofErr w:type="spellStart"/>
      <w:proofErr w:type="gramStart"/>
      <w:r w:rsidR="004D3578" w:rsidRPr="000D694B">
        <w:rPr>
          <w:rFonts w:cs="Times New Roman"/>
          <w:i/>
          <w:iCs/>
          <w:sz w:val="18"/>
          <w:szCs w:val="18"/>
          <w:shd w:val="clear" w:color="auto" w:fill="FFFFFF"/>
        </w:rPr>
        <w:t>physician</w:t>
      </w:r>
      <w:r w:rsidRPr="000D694B">
        <w:rPr>
          <w:rFonts w:cs="Times New Roman"/>
          <w:i/>
          <w:iCs/>
          <w:sz w:val="18"/>
          <w:szCs w:val="18"/>
          <w:shd w:val="clear" w:color="auto" w:fill="FFFFFF"/>
        </w:rPr>
        <w:t>,</w:t>
      </w:r>
      <w:r w:rsidR="004D3578" w:rsidRPr="000D694B">
        <w:rPr>
          <w:rFonts w:cs="Times New Roman"/>
          <w:i/>
          <w:iCs/>
          <w:sz w:val="18"/>
          <w:szCs w:val="18"/>
          <w:shd w:val="clear" w:color="auto" w:fill="FFFFFF"/>
        </w:rPr>
        <w:t>Family</w:t>
      </w:r>
      <w:proofErr w:type="spellEnd"/>
      <w:proofErr w:type="gramEnd"/>
      <w:r w:rsidR="004D3578" w:rsidRPr="000D694B">
        <w:rPr>
          <w:rFonts w:cs="Times New Roman"/>
          <w:i/>
          <w:iCs/>
          <w:sz w:val="18"/>
          <w:szCs w:val="18"/>
          <w:shd w:val="clear" w:color="auto" w:fill="FFFFFF"/>
        </w:rPr>
        <w:t xml:space="preserve"> Medicine Academy, M</w:t>
      </w:r>
      <w:r w:rsidR="004D3578" w:rsidRPr="000D694B">
        <w:rPr>
          <w:rFonts w:cs="Times New Roman"/>
          <w:i/>
          <w:iCs/>
          <w:sz w:val="18"/>
          <w:szCs w:val="18"/>
        </w:rPr>
        <w:t>akkah Healthcare Cluster, Makkah, Saudi Arabia.</w:t>
      </w:r>
    </w:p>
    <w:p w14:paraId="782358D9" w14:textId="53D20877" w:rsidR="004D3578" w:rsidRDefault="008B59D5" w:rsidP="000D694B">
      <w:pPr>
        <w:spacing w:before="0" w:beforeAutospacing="0" w:after="0" w:afterAutospacing="0" w:line="240" w:lineRule="auto"/>
        <w:jc w:val="center"/>
        <w:rPr>
          <w:rFonts w:cs="Times New Roman"/>
          <w:i/>
          <w:iCs/>
          <w:sz w:val="18"/>
          <w:szCs w:val="18"/>
        </w:rPr>
      </w:pPr>
      <w:r w:rsidRPr="000D694B">
        <w:rPr>
          <w:rFonts w:cs="Times New Roman"/>
          <w:i/>
          <w:iCs/>
          <w:sz w:val="18"/>
          <w:szCs w:val="18"/>
          <w:shd w:val="clear" w:color="auto" w:fill="FFFFFF"/>
          <w:vertAlign w:val="superscript"/>
        </w:rPr>
        <w:t>7</w:t>
      </w:r>
      <w:r w:rsidR="004D3578" w:rsidRPr="000D694B">
        <w:rPr>
          <w:rFonts w:cs="Times New Roman"/>
          <w:i/>
          <w:iCs/>
          <w:sz w:val="18"/>
          <w:szCs w:val="18"/>
          <w:shd w:val="clear" w:color="auto" w:fill="FFFFFF"/>
        </w:rPr>
        <w:t xml:space="preserve">Executive Director of Patient Safety and Risk </w:t>
      </w:r>
      <w:proofErr w:type="spellStart"/>
      <w:proofErr w:type="gramStart"/>
      <w:r w:rsidR="004D3578" w:rsidRPr="000D694B">
        <w:rPr>
          <w:rFonts w:cs="Times New Roman"/>
          <w:i/>
          <w:iCs/>
          <w:sz w:val="18"/>
          <w:szCs w:val="18"/>
          <w:shd w:val="clear" w:color="auto" w:fill="FFFFFF"/>
        </w:rPr>
        <w:t>Management</w:t>
      </w:r>
      <w:r w:rsidRPr="000D694B">
        <w:rPr>
          <w:rFonts w:cs="Times New Roman"/>
          <w:i/>
          <w:iCs/>
          <w:sz w:val="18"/>
          <w:szCs w:val="18"/>
          <w:shd w:val="clear" w:color="auto" w:fill="FFFFFF"/>
        </w:rPr>
        <w:t>,</w:t>
      </w:r>
      <w:r w:rsidR="004D3578" w:rsidRPr="000D694B">
        <w:rPr>
          <w:rFonts w:cs="Times New Roman"/>
          <w:i/>
          <w:iCs/>
          <w:sz w:val="18"/>
          <w:szCs w:val="18"/>
        </w:rPr>
        <w:t>Institutional</w:t>
      </w:r>
      <w:proofErr w:type="spellEnd"/>
      <w:proofErr w:type="gramEnd"/>
      <w:r w:rsidR="004D3578" w:rsidRPr="000D694B">
        <w:rPr>
          <w:rFonts w:cs="Times New Roman"/>
          <w:i/>
          <w:iCs/>
          <w:sz w:val="18"/>
          <w:szCs w:val="18"/>
        </w:rPr>
        <w:t xml:space="preserve"> Excellence and Quality, Makkah Healthcare Cluster, Makkah, Saudi Arabia</w:t>
      </w:r>
    </w:p>
    <w:p w14:paraId="486B5795" w14:textId="7453676F" w:rsidR="00B741DC" w:rsidRPr="00B741DC" w:rsidRDefault="00B741DC" w:rsidP="000D694B">
      <w:pPr>
        <w:spacing w:before="0" w:beforeAutospacing="0" w:after="0" w:afterAutospacing="0" w:line="240" w:lineRule="auto"/>
        <w:jc w:val="center"/>
        <w:rPr>
          <w:rFonts w:cs="Times New Roman"/>
          <w:i/>
          <w:iCs/>
          <w:sz w:val="18"/>
          <w:szCs w:val="18"/>
          <w:shd w:val="clear" w:color="auto" w:fill="FFFFFF"/>
        </w:rPr>
      </w:pPr>
      <w:r w:rsidRPr="00B741DC">
        <w:rPr>
          <w:rFonts w:cs="Times New Roman"/>
          <w:i/>
          <w:iCs/>
          <w:sz w:val="18"/>
          <w:szCs w:val="18"/>
          <w:shd w:val="clear" w:color="auto" w:fill="FFFFFF"/>
        </w:rPr>
        <w:t xml:space="preserve">Corresponding author: Dr. Asrar Mansoor </w:t>
      </w:r>
      <w:proofErr w:type="spellStart"/>
      <w:r w:rsidRPr="00B741DC">
        <w:rPr>
          <w:rFonts w:cs="Times New Roman"/>
          <w:i/>
          <w:iCs/>
          <w:sz w:val="18"/>
          <w:szCs w:val="18"/>
          <w:shd w:val="clear" w:color="auto" w:fill="FFFFFF"/>
        </w:rPr>
        <w:t>Alrajhi</w:t>
      </w:r>
      <w:proofErr w:type="spellEnd"/>
    </w:p>
    <w:p w14:paraId="25EFAD78" w14:textId="6AEC199B" w:rsidR="001B61CC" w:rsidRPr="008B59D5" w:rsidRDefault="003A0445" w:rsidP="008B59D5">
      <w:pPr>
        <w:pStyle w:val="Heading1"/>
        <w:spacing w:after="120" w:afterAutospacing="0" w:line="240" w:lineRule="auto"/>
        <w:rPr>
          <w:rFonts w:cs="Times New Roman"/>
          <w:color w:val="auto"/>
          <w:sz w:val="22"/>
          <w:szCs w:val="22"/>
        </w:rPr>
      </w:pPr>
      <w:r w:rsidRPr="008B59D5">
        <w:rPr>
          <w:rFonts w:cs="Times New Roman"/>
          <w:color w:val="auto"/>
          <w:sz w:val="22"/>
          <w:szCs w:val="22"/>
        </w:rPr>
        <w:t>Abstract</w:t>
      </w:r>
    </w:p>
    <w:p w14:paraId="3209D53E" w14:textId="3731F399" w:rsidR="001B61CC" w:rsidRPr="008B59D5" w:rsidRDefault="001B61CC" w:rsidP="008B59D5">
      <w:pPr>
        <w:pStyle w:val="Heading2"/>
        <w:spacing w:before="0" w:beforeAutospacing="0" w:after="0" w:afterAutospacing="0" w:line="240" w:lineRule="auto"/>
        <w:rPr>
          <w:rFonts w:cs="Times New Roman"/>
          <w:i w:val="0"/>
          <w:color w:val="auto"/>
          <w:sz w:val="22"/>
          <w:szCs w:val="22"/>
        </w:rPr>
      </w:pPr>
      <w:r w:rsidRPr="008B59D5">
        <w:rPr>
          <w:rFonts w:cs="Times New Roman"/>
          <w:bCs/>
          <w:i w:val="0"/>
          <w:color w:val="auto"/>
          <w:sz w:val="22"/>
          <w:szCs w:val="22"/>
        </w:rPr>
        <w:t>Aims</w:t>
      </w:r>
    </w:p>
    <w:p w14:paraId="7DE166E0" w14:textId="50A95527" w:rsidR="001B61CC" w:rsidRPr="008B59D5" w:rsidRDefault="001B61CC" w:rsidP="008B59D5">
      <w:pPr>
        <w:spacing w:before="0" w:beforeAutospacing="0" w:after="0" w:afterAutospacing="0" w:line="240" w:lineRule="auto"/>
        <w:rPr>
          <w:rFonts w:cs="Times New Roman"/>
          <w:sz w:val="22"/>
          <w:szCs w:val="22"/>
        </w:rPr>
      </w:pPr>
      <w:r w:rsidRPr="008B59D5">
        <w:rPr>
          <w:rFonts w:cs="Times New Roman"/>
          <w:sz w:val="22"/>
          <w:szCs w:val="22"/>
        </w:rPr>
        <w:t xml:space="preserve">This study aims to evaluate </w:t>
      </w:r>
      <w:r w:rsidR="00117200" w:rsidRPr="008B59D5">
        <w:rPr>
          <w:rFonts w:cs="Times New Roman"/>
          <w:sz w:val="22"/>
          <w:szCs w:val="22"/>
        </w:rPr>
        <w:t>staff awareness of occurrence variance reporting (OVR) in Makkah hospitals, with a focus on patient safety incident reporting.</w:t>
      </w:r>
      <w:r w:rsidRPr="008B59D5">
        <w:rPr>
          <w:rFonts w:cs="Times New Roman"/>
          <w:sz w:val="22"/>
          <w:szCs w:val="22"/>
        </w:rPr>
        <w:t xml:space="preserve"> The objective is to identify the types and frequencies of reported events, analyze the consistency of reporting over time, and examine the primary methods used to disseminate lessons learned to improve patient safety practices.</w:t>
      </w:r>
    </w:p>
    <w:p w14:paraId="2640B4D7" w14:textId="77777777" w:rsidR="001B61CC" w:rsidRPr="008B59D5" w:rsidRDefault="001B61CC" w:rsidP="008B59D5">
      <w:pPr>
        <w:pStyle w:val="Heading2"/>
        <w:spacing w:before="0" w:beforeAutospacing="0" w:after="0" w:afterAutospacing="0" w:line="240" w:lineRule="auto"/>
        <w:rPr>
          <w:rFonts w:cs="Times New Roman"/>
          <w:i w:val="0"/>
          <w:color w:val="auto"/>
          <w:sz w:val="22"/>
          <w:szCs w:val="22"/>
        </w:rPr>
      </w:pPr>
      <w:r w:rsidRPr="008B59D5">
        <w:rPr>
          <w:rFonts w:cs="Times New Roman"/>
          <w:bCs/>
          <w:i w:val="0"/>
          <w:color w:val="auto"/>
          <w:sz w:val="22"/>
          <w:szCs w:val="22"/>
        </w:rPr>
        <w:t>Methods</w:t>
      </w:r>
    </w:p>
    <w:p w14:paraId="4B348B0C" w14:textId="05F3429E" w:rsidR="001B61CC" w:rsidRPr="008B59D5" w:rsidRDefault="001B61CC" w:rsidP="008B59D5">
      <w:pPr>
        <w:spacing w:before="0" w:beforeAutospacing="0" w:after="0" w:afterAutospacing="0" w:line="240" w:lineRule="auto"/>
        <w:rPr>
          <w:rFonts w:cs="Times New Roman"/>
          <w:sz w:val="22"/>
          <w:szCs w:val="22"/>
        </w:rPr>
      </w:pPr>
      <w:r w:rsidRPr="008B59D5">
        <w:rPr>
          <w:rFonts w:cs="Times New Roman"/>
          <w:sz w:val="22"/>
          <w:szCs w:val="22"/>
        </w:rPr>
        <w:t xml:space="preserve">A retrospective study was conducted over three years (2021-2023) across </w:t>
      </w:r>
      <w:r w:rsidR="00117200" w:rsidRPr="008B59D5">
        <w:rPr>
          <w:rFonts w:cs="Times New Roman"/>
          <w:sz w:val="22"/>
          <w:szCs w:val="22"/>
        </w:rPr>
        <w:t>10 governmental hospitals in Makkah, using OVR data categorized by incident type and severity.</w:t>
      </w:r>
      <w:r w:rsidRPr="008B59D5">
        <w:rPr>
          <w:rFonts w:cs="Times New Roman"/>
          <w:sz w:val="22"/>
          <w:szCs w:val="22"/>
        </w:rPr>
        <w:t xml:space="preserve"> Data analysis was performed using Microsoft Excel to calculate frequencies, trends, and patterns across different incident categories and time periods. Reporting methods, such as alerts, meetings, and presentations, were also examined for their effectiveness in enhancing staff awareness.</w:t>
      </w:r>
    </w:p>
    <w:p w14:paraId="4645F659" w14:textId="77777777" w:rsidR="001B61CC" w:rsidRPr="008B59D5" w:rsidRDefault="001B61CC" w:rsidP="008B59D5">
      <w:pPr>
        <w:pStyle w:val="Heading2"/>
        <w:spacing w:before="0" w:beforeAutospacing="0" w:after="0" w:afterAutospacing="0" w:line="240" w:lineRule="auto"/>
        <w:rPr>
          <w:rFonts w:cs="Times New Roman"/>
          <w:i w:val="0"/>
          <w:color w:val="auto"/>
          <w:sz w:val="22"/>
          <w:szCs w:val="22"/>
        </w:rPr>
      </w:pPr>
      <w:r w:rsidRPr="008B59D5">
        <w:rPr>
          <w:rFonts w:cs="Times New Roman"/>
          <w:i w:val="0"/>
          <w:color w:val="auto"/>
          <w:sz w:val="22"/>
          <w:szCs w:val="22"/>
        </w:rPr>
        <w:t>Findings</w:t>
      </w:r>
    </w:p>
    <w:p w14:paraId="39C725F3" w14:textId="752AF4DE" w:rsidR="001B61CC" w:rsidRPr="008B59D5" w:rsidRDefault="001B61CC" w:rsidP="008B59D5">
      <w:pPr>
        <w:spacing w:before="0" w:beforeAutospacing="0" w:after="0" w:afterAutospacing="0" w:line="240" w:lineRule="auto"/>
        <w:rPr>
          <w:rFonts w:cs="Times New Roman"/>
          <w:sz w:val="22"/>
          <w:szCs w:val="22"/>
        </w:rPr>
      </w:pPr>
      <w:r w:rsidRPr="008B59D5">
        <w:rPr>
          <w:rFonts w:cs="Times New Roman"/>
          <w:sz w:val="22"/>
          <w:szCs w:val="22"/>
        </w:rPr>
        <w:t xml:space="preserve">The total number of OVRs decreased annually, </w:t>
      </w:r>
      <w:r w:rsidR="00117200" w:rsidRPr="008B59D5">
        <w:rPr>
          <w:rFonts w:cs="Times New Roman"/>
          <w:sz w:val="22"/>
          <w:szCs w:val="22"/>
        </w:rPr>
        <w:t>from</w:t>
      </w:r>
      <w:r w:rsidRPr="008B59D5">
        <w:rPr>
          <w:rFonts w:cs="Times New Roman"/>
          <w:sz w:val="22"/>
          <w:szCs w:val="22"/>
        </w:rPr>
        <w:t xml:space="preserve"> 33,170 in 2021</w:t>
      </w:r>
      <w:r w:rsidR="00117200" w:rsidRPr="008B59D5">
        <w:rPr>
          <w:rFonts w:cs="Times New Roman"/>
          <w:sz w:val="22"/>
          <w:szCs w:val="22"/>
        </w:rPr>
        <w:t xml:space="preserve"> to</w:t>
      </w:r>
      <w:r w:rsidRPr="008B59D5">
        <w:rPr>
          <w:rFonts w:cs="Times New Roman"/>
          <w:sz w:val="22"/>
          <w:szCs w:val="22"/>
        </w:rPr>
        <w:t xml:space="preserve"> 24,423 in 2022</w:t>
      </w:r>
      <w:r w:rsidR="004D3578" w:rsidRPr="008B59D5">
        <w:rPr>
          <w:rFonts w:cs="Times New Roman"/>
          <w:sz w:val="22"/>
          <w:szCs w:val="22"/>
        </w:rPr>
        <w:t>,</w:t>
      </w:r>
      <w:r w:rsidRPr="008B59D5">
        <w:rPr>
          <w:rFonts w:cs="Times New Roman"/>
          <w:sz w:val="22"/>
          <w:szCs w:val="22"/>
        </w:rPr>
        <w:t xml:space="preserve"> and </w:t>
      </w:r>
      <w:r w:rsidR="004D3578" w:rsidRPr="008B59D5">
        <w:rPr>
          <w:rFonts w:cs="Times New Roman"/>
          <w:sz w:val="22"/>
          <w:szCs w:val="22"/>
        </w:rPr>
        <w:t xml:space="preserve">then to </w:t>
      </w:r>
      <w:r w:rsidRPr="008B59D5">
        <w:rPr>
          <w:rFonts w:cs="Times New Roman"/>
          <w:sz w:val="22"/>
          <w:szCs w:val="22"/>
        </w:rPr>
        <w:t xml:space="preserve">22,201 in 2023. Medication errors, patient care management, documentation issues, staff-related </w:t>
      </w:r>
      <w:r w:rsidR="007D5779" w:rsidRPr="008B59D5">
        <w:rPr>
          <w:rFonts w:cs="Times New Roman"/>
          <w:sz w:val="22"/>
          <w:szCs w:val="22"/>
        </w:rPr>
        <w:t>concern</w:t>
      </w:r>
      <w:r w:rsidRPr="008B59D5">
        <w:rPr>
          <w:rFonts w:cs="Times New Roman"/>
          <w:sz w:val="22"/>
          <w:szCs w:val="22"/>
        </w:rPr>
        <w:t xml:space="preserve">s, and laboratory-related </w:t>
      </w:r>
      <w:r w:rsidR="007D5779" w:rsidRPr="008B59D5">
        <w:rPr>
          <w:rFonts w:cs="Times New Roman"/>
          <w:sz w:val="22"/>
          <w:szCs w:val="22"/>
        </w:rPr>
        <w:t>issue</w:t>
      </w:r>
      <w:r w:rsidRPr="008B59D5">
        <w:rPr>
          <w:rFonts w:cs="Times New Roman"/>
          <w:sz w:val="22"/>
          <w:szCs w:val="22"/>
        </w:rPr>
        <w:t xml:space="preserve">s were consistently the most </w:t>
      </w:r>
      <w:r w:rsidR="007D5779" w:rsidRPr="008B59D5">
        <w:rPr>
          <w:rFonts w:cs="Times New Roman"/>
          <w:sz w:val="22"/>
          <w:szCs w:val="22"/>
        </w:rPr>
        <w:t xml:space="preserve">frequently </w:t>
      </w:r>
      <w:r w:rsidRPr="008B59D5">
        <w:rPr>
          <w:rFonts w:cs="Times New Roman"/>
          <w:sz w:val="22"/>
          <w:szCs w:val="22"/>
        </w:rPr>
        <w:t xml:space="preserve">reported categories. The most effective methods for disseminating lessons learned included alerts and presentations, which </w:t>
      </w:r>
      <w:r w:rsidR="007D5779" w:rsidRPr="008B59D5">
        <w:rPr>
          <w:rFonts w:cs="Times New Roman"/>
          <w:sz w:val="22"/>
          <w:szCs w:val="22"/>
        </w:rPr>
        <w:t>were</w:t>
      </w:r>
      <w:r w:rsidRPr="008B59D5">
        <w:rPr>
          <w:rFonts w:cs="Times New Roman"/>
          <w:sz w:val="22"/>
          <w:szCs w:val="22"/>
        </w:rPr>
        <w:t xml:space="preserve"> </w:t>
      </w:r>
      <w:r w:rsidR="007D5779" w:rsidRPr="008B59D5">
        <w:rPr>
          <w:rFonts w:cs="Times New Roman"/>
          <w:sz w:val="22"/>
          <w:szCs w:val="22"/>
        </w:rPr>
        <w:t>used</w:t>
      </w:r>
      <w:r w:rsidRPr="008B59D5">
        <w:rPr>
          <w:rFonts w:cs="Times New Roman"/>
          <w:sz w:val="22"/>
          <w:szCs w:val="22"/>
        </w:rPr>
        <w:t xml:space="preserve"> </w:t>
      </w:r>
      <w:r w:rsidR="007D5779" w:rsidRPr="008B59D5">
        <w:rPr>
          <w:rFonts w:cs="Times New Roman"/>
          <w:sz w:val="22"/>
          <w:szCs w:val="22"/>
        </w:rPr>
        <w:t>with varying frequency</w:t>
      </w:r>
      <w:r w:rsidRPr="008B59D5">
        <w:rPr>
          <w:rFonts w:cs="Times New Roman"/>
          <w:sz w:val="22"/>
          <w:szCs w:val="22"/>
        </w:rPr>
        <w:t xml:space="preserve"> over the three</w:t>
      </w:r>
      <w:r w:rsidR="007D5779" w:rsidRPr="008B59D5">
        <w:rPr>
          <w:rFonts w:cs="Times New Roman"/>
          <w:sz w:val="22"/>
          <w:szCs w:val="22"/>
        </w:rPr>
        <w:t>-year</w:t>
      </w:r>
      <w:r w:rsidRPr="008B59D5">
        <w:rPr>
          <w:rFonts w:cs="Times New Roman"/>
          <w:sz w:val="22"/>
          <w:szCs w:val="22"/>
        </w:rPr>
        <w:t xml:space="preserve"> </w:t>
      </w:r>
      <w:r w:rsidR="007D5779" w:rsidRPr="008B59D5">
        <w:rPr>
          <w:rFonts w:cs="Times New Roman"/>
          <w:sz w:val="22"/>
          <w:szCs w:val="22"/>
        </w:rPr>
        <w:t>period</w:t>
      </w:r>
      <w:r w:rsidRPr="008B59D5">
        <w:rPr>
          <w:rFonts w:cs="Times New Roman"/>
          <w:sz w:val="22"/>
          <w:szCs w:val="22"/>
        </w:rPr>
        <w:t xml:space="preserve">. Catastrophic incidents, </w:t>
      </w:r>
      <w:r w:rsidR="007D5779" w:rsidRPr="008B59D5">
        <w:rPr>
          <w:rFonts w:cs="Times New Roman"/>
          <w:sz w:val="22"/>
          <w:szCs w:val="22"/>
        </w:rPr>
        <w:t>al</w:t>
      </w:r>
      <w:r w:rsidRPr="008B59D5">
        <w:rPr>
          <w:rFonts w:cs="Times New Roman"/>
          <w:sz w:val="22"/>
          <w:szCs w:val="22"/>
        </w:rPr>
        <w:t xml:space="preserve">though rare, </w:t>
      </w:r>
      <w:r w:rsidR="007D5779" w:rsidRPr="008B59D5">
        <w:rPr>
          <w:rFonts w:cs="Times New Roman"/>
          <w:sz w:val="22"/>
          <w:szCs w:val="22"/>
        </w:rPr>
        <w:t xml:space="preserve">have </w:t>
      </w:r>
      <w:r w:rsidR="00117200" w:rsidRPr="008B59D5">
        <w:rPr>
          <w:rFonts w:cs="Times New Roman"/>
          <w:sz w:val="22"/>
          <w:szCs w:val="22"/>
        </w:rPr>
        <w:t>increased</w:t>
      </w:r>
      <w:r w:rsidRPr="008B59D5">
        <w:rPr>
          <w:rFonts w:cs="Times New Roman"/>
          <w:sz w:val="22"/>
          <w:szCs w:val="22"/>
        </w:rPr>
        <w:t>, highlighting areas for further improvement in patient safety practices.</w:t>
      </w:r>
    </w:p>
    <w:p w14:paraId="4F4627C0" w14:textId="77777777" w:rsidR="001B61CC" w:rsidRPr="008B59D5" w:rsidRDefault="001B61CC" w:rsidP="008B59D5">
      <w:pPr>
        <w:pStyle w:val="Heading2"/>
        <w:spacing w:before="0" w:beforeAutospacing="0" w:after="0" w:afterAutospacing="0" w:line="240" w:lineRule="auto"/>
        <w:rPr>
          <w:rFonts w:cs="Times New Roman"/>
          <w:i w:val="0"/>
          <w:color w:val="auto"/>
          <w:sz w:val="22"/>
          <w:szCs w:val="22"/>
        </w:rPr>
      </w:pPr>
      <w:r w:rsidRPr="008B59D5">
        <w:rPr>
          <w:rFonts w:cs="Times New Roman"/>
          <w:i w:val="0"/>
          <w:color w:val="auto"/>
          <w:sz w:val="22"/>
          <w:szCs w:val="22"/>
        </w:rPr>
        <w:t>Conclusion</w:t>
      </w:r>
    </w:p>
    <w:p w14:paraId="2807A5E8" w14:textId="066734C8" w:rsidR="001B61CC" w:rsidRPr="008B59D5" w:rsidRDefault="001B61CC" w:rsidP="008B59D5">
      <w:pPr>
        <w:spacing w:before="0" w:beforeAutospacing="0" w:after="0" w:afterAutospacing="0" w:line="240" w:lineRule="auto"/>
        <w:rPr>
          <w:rFonts w:cs="Times New Roman"/>
          <w:sz w:val="22"/>
          <w:szCs w:val="22"/>
        </w:rPr>
      </w:pPr>
      <w:r w:rsidRPr="008B59D5">
        <w:rPr>
          <w:rFonts w:cs="Times New Roman"/>
          <w:sz w:val="22"/>
          <w:szCs w:val="22"/>
        </w:rPr>
        <w:t xml:space="preserve">The decline in reported incidents suggests potential improvements in hospital practices or changes in reporting behavior, possibly due to fear of repercussions. To sustain improvements, it is recommended to enhance communication strategies and foster a supportive reporting environment, encouraging all staff to </w:t>
      </w:r>
      <w:r w:rsidR="00117200" w:rsidRPr="008B59D5">
        <w:rPr>
          <w:rFonts w:cs="Times New Roman"/>
          <w:sz w:val="22"/>
          <w:szCs w:val="22"/>
        </w:rPr>
        <w:t xml:space="preserve">actively </w:t>
      </w:r>
      <w:r w:rsidRPr="008B59D5">
        <w:rPr>
          <w:rFonts w:cs="Times New Roman"/>
          <w:sz w:val="22"/>
          <w:szCs w:val="22"/>
        </w:rPr>
        <w:t>participate in patient safety initiatives.</w:t>
      </w:r>
    </w:p>
    <w:p w14:paraId="69E0DB2F" w14:textId="77777777" w:rsidR="008B59D5" w:rsidRDefault="001B61CC" w:rsidP="008B59D5">
      <w:pPr>
        <w:pBdr>
          <w:bottom w:val="single" w:sz="4" w:space="1" w:color="auto"/>
        </w:pBdr>
        <w:spacing w:line="240" w:lineRule="auto"/>
        <w:rPr>
          <w:rFonts w:cs="Times New Roman"/>
          <w:sz w:val="22"/>
          <w:szCs w:val="22"/>
        </w:rPr>
      </w:pPr>
      <w:r w:rsidRPr="008B59D5">
        <w:rPr>
          <w:rFonts w:cs="Times New Roman"/>
          <w:b/>
          <w:bCs/>
          <w:sz w:val="22"/>
          <w:szCs w:val="22"/>
        </w:rPr>
        <w:t>Keywords</w:t>
      </w:r>
      <w:r w:rsidRPr="008B59D5">
        <w:rPr>
          <w:rFonts w:cs="Times New Roman"/>
          <w:sz w:val="22"/>
          <w:szCs w:val="22"/>
        </w:rPr>
        <w:t>: Makkah, Medical Care, Patient Safety, Hospitals, Management, Occurrence Variance.</w:t>
      </w:r>
    </w:p>
    <w:p w14:paraId="40D96A94" w14:textId="00283C29" w:rsidR="00573BE5" w:rsidRPr="008B59D5" w:rsidRDefault="003A0445" w:rsidP="009D535B">
      <w:pPr>
        <w:pStyle w:val="Heading1"/>
        <w:spacing w:before="0" w:beforeAutospacing="0" w:after="0" w:afterAutospacing="0" w:line="240" w:lineRule="auto"/>
        <w:rPr>
          <w:rFonts w:cs="Times New Roman"/>
          <w:color w:val="auto"/>
          <w:sz w:val="22"/>
          <w:szCs w:val="22"/>
        </w:rPr>
      </w:pPr>
      <w:r w:rsidRPr="008B59D5">
        <w:rPr>
          <w:rFonts w:cs="Times New Roman"/>
          <w:color w:val="auto"/>
          <w:sz w:val="22"/>
          <w:szCs w:val="22"/>
        </w:rPr>
        <w:t>Introduction</w:t>
      </w:r>
    </w:p>
    <w:p w14:paraId="6FDA7CB7" w14:textId="33073947" w:rsidR="00C445DB" w:rsidRPr="008B59D5" w:rsidRDefault="00CA19FA" w:rsidP="009D535B">
      <w:pPr>
        <w:spacing w:before="0" w:beforeAutospacing="0" w:after="0" w:afterAutospacing="0" w:line="240" w:lineRule="auto"/>
        <w:rPr>
          <w:rFonts w:cs="Times New Roman"/>
          <w:sz w:val="22"/>
          <w:szCs w:val="22"/>
        </w:rPr>
      </w:pPr>
      <w:r w:rsidRPr="008B59D5">
        <w:rPr>
          <w:rFonts w:cs="Times New Roman"/>
          <w:sz w:val="22"/>
          <w:szCs w:val="22"/>
        </w:rPr>
        <w:t>The healthcare sector require</w:t>
      </w:r>
      <w:r w:rsidR="00EF7BB4" w:rsidRPr="008B59D5">
        <w:rPr>
          <w:rFonts w:cs="Times New Roman"/>
          <w:sz w:val="22"/>
          <w:szCs w:val="22"/>
        </w:rPr>
        <w:t>s</w:t>
      </w:r>
      <w:r w:rsidRPr="008B59D5">
        <w:rPr>
          <w:rFonts w:cs="Times New Roman"/>
          <w:sz w:val="22"/>
          <w:szCs w:val="22"/>
        </w:rPr>
        <w:t xml:space="preserve"> </w:t>
      </w:r>
      <w:r w:rsidR="006F5F5C" w:rsidRPr="008B59D5">
        <w:rPr>
          <w:rFonts w:cs="Times New Roman"/>
          <w:sz w:val="22"/>
          <w:szCs w:val="22"/>
        </w:rPr>
        <w:t>speciali</w:t>
      </w:r>
      <w:r w:rsidR="00EF7BB4" w:rsidRPr="008B59D5">
        <w:rPr>
          <w:rFonts w:cs="Times New Roman"/>
          <w:sz w:val="22"/>
          <w:szCs w:val="22"/>
        </w:rPr>
        <w:t>zed</w:t>
      </w:r>
      <w:r w:rsidR="006F5F5C" w:rsidRPr="008B59D5">
        <w:rPr>
          <w:rFonts w:cs="Times New Roman"/>
          <w:sz w:val="22"/>
          <w:szCs w:val="22"/>
        </w:rPr>
        <w:t xml:space="preserve"> labor due to hazardous operations. Patient safety is the primary objective</w:t>
      </w:r>
      <w:r w:rsidRPr="008B59D5">
        <w:rPr>
          <w:rFonts w:cs="Times New Roman"/>
          <w:sz w:val="22"/>
          <w:szCs w:val="22"/>
        </w:rPr>
        <w:t xml:space="preserve"> of the healthcare sector</w:t>
      </w:r>
      <w:r w:rsidR="006F5F5C" w:rsidRPr="008B59D5">
        <w:rPr>
          <w:rFonts w:cs="Times New Roman"/>
          <w:sz w:val="22"/>
          <w:szCs w:val="22"/>
        </w:rPr>
        <w:t>, aiming to prevent or reduce risk, errors, and harm</w:t>
      </w:r>
      <w:r w:rsidR="007E59B5" w:rsidRPr="008B59D5">
        <w:rPr>
          <w:rFonts w:cs="Times New Roman"/>
          <w:sz w:val="22"/>
          <w:szCs w:val="22"/>
        </w:rPr>
        <w:t xml:space="preserve"> </w:t>
      </w:r>
      <w:r w:rsidR="007E59B5" w:rsidRPr="008B59D5">
        <w:rPr>
          <w:rFonts w:cs="Times New Roman"/>
          <w:sz w:val="22"/>
          <w:szCs w:val="22"/>
        </w:rPr>
        <w:fldChar w:fldCharType="begin"/>
      </w:r>
      <w:r w:rsidR="007F2092" w:rsidRPr="008B59D5">
        <w:rPr>
          <w:rFonts w:cs="Times New Roman"/>
          <w:sz w:val="22"/>
          <w:szCs w:val="22"/>
        </w:rPr>
        <w:instrText xml:space="preserve"> ADDIN EN.CITE &lt;EndNote&gt;&lt;Cite&gt;&lt;Author&gt;Organization&lt;/Author&gt;&lt;Year&gt;2021&lt;/Year&gt;&lt;RecNum&gt;9&lt;/RecNum&gt;&lt;DisplayText&gt;(1, 2)&lt;/DisplayText&gt;&lt;record&gt;&lt;rec-number&gt;9&lt;/rec-number&gt;&lt;foreign-keys&gt;&lt;key app="EN" db-id="9edrvvtztz9zr2edftkvpwpfr5xa5zxsped0" timestamp="1723108207"&gt;9&lt;/key&gt;&lt;/foreign-keys&gt;&lt;ref-type name="Book"&gt;6&lt;/ref-type&gt;&lt;contributors&gt;&lt;authors&gt;&lt;author&gt;World Health Organization&lt;/author&gt;&lt;/authors&gt;&lt;/contributors&gt;&lt;titles&gt;&lt;title&gt;Global patient safety action plan 2021-2030: towards eliminating avoidable harm in health care&lt;/title&gt;&lt;/titles&gt;&lt;dates&gt;&lt;year&gt;2021&lt;/year&gt;&lt;/dates&gt;&lt;publisher&gt;World Health Organization&lt;/publisher&gt;&lt;isbn&gt;9240032703&lt;/isbn&gt;&lt;urls&gt;&lt;/urls&gt;&lt;/record&gt;&lt;/Cite&gt;&lt;Cite&gt;&lt;Author&gt;Lungu&lt;/Author&gt;&lt;Year&gt;2023&lt;/Year&gt;&lt;RecNum&gt;10&lt;/RecNum&gt;&lt;record&gt;&lt;rec-number&gt;10&lt;/rec-number&gt;&lt;foreign-keys&gt;&lt;key app="EN" db-id="r0we05v99p5de0eaertxvtpjexfvdf9dfxff" timestamp="1735018504"&gt;10&lt;/key&gt;&lt;/foreign-keys&gt;&lt;ref-type name="Journal Article"&gt;17&lt;/ref-type&gt;&lt;contributors&gt;&lt;authors&gt;&lt;author&gt;Lungu, Daniel&lt;/author&gt;&lt;author&gt;Harvey, John&lt;/author&gt;&lt;/authors&gt;&lt;/contributors&gt;&lt;titles&gt;&lt;title&gt;Patient Safety: A Systematic Review of the Literature with Evidence based Measures to Improve Patient Safety in Healthcare Settings&lt;/title&gt;&lt;secondary-title&gt;South American Journal of Academic Research&lt;/secondary-title&gt;&lt;/titles&gt;&lt;periodical&gt;&lt;full-title&gt;South American Journal of Academic Research&lt;/full-title&gt;&lt;/periodical&gt;&lt;pages&gt;27-35&lt;/pages&gt;&lt;volume&gt;10&lt;/volume&gt;&lt;number&gt;2&lt;/number&gt;&lt;dates&gt;&lt;year&gt;2023&lt;/year&gt;&lt;/dates&gt;&lt;urls&gt;&lt;/urls&gt;&lt;/record&gt;&lt;/Cite&gt;&lt;/EndNote&gt;</w:instrText>
      </w:r>
      <w:r w:rsidR="007E59B5" w:rsidRPr="008B59D5">
        <w:rPr>
          <w:rFonts w:cs="Times New Roman"/>
          <w:sz w:val="22"/>
          <w:szCs w:val="22"/>
        </w:rPr>
        <w:fldChar w:fldCharType="separate"/>
      </w:r>
      <w:r w:rsidR="007F2092" w:rsidRPr="008B59D5">
        <w:rPr>
          <w:rFonts w:cs="Times New Roman"/>
          <w:noProof/>
          <w:sz w:val="22"/>
          <w:szCs w:val="22"/>
        </w:rPr>
        <w:t>(1, 2)</w:t>
      </w:r>
      <w:r w:rsidR="007E59B5" w:rsidRPr="008B59D5">
        <w:rPr>
          <w:rFonts w:cs="Times New Roman"/>
          <w:sz w:val="22"/>
          <w:szCs w:val="22"/>
        </w:rPr>
        <w:fldChar w:fldCharType="end"/>
      </w:r>
      <w:r w:rsidR="006F5F5C" w:rsidRPr="008B59D5">
        <w:rPr>
          <w:rFonts w:cs="Times New Roman"/>
          <w:sz w:val="22"/>
          <w:szCs w:val="22"/>
        </w:rPr>
        <w:t xml:space="preserve">. Strong leadership, dedication, documentation, and a mechanism for employees to report </w:t>
      </w:r>
      <w:r w:rsidR="007D5779" w:rsidRPr="008B59D5">
        <w:rPr>
          <w:rFonts w:cs="Times New Roman"/>
          <w:sz w:val="22"/>
          <w:szCs w:val="22"/>
        </w:rPr>
        <w:t>mistake</w:t>
      </w:r>
      <w:r w:rsidR="006F5F5C" w:rsidRPr="008B59D5">
        <w:rPr>
          <w:rFonts w:cs="Times New Roman"/>
          <w:sz w:val="22"/>
          <w:szCs w:val="22"/>
        </w:rPr>
        <w:t xml:space="preserve">s can improve patient safety. Medical errors pose a significant threat to patients' safety and can lead to costly </w:t>
      </w:r>
      <w:r w:rsidR="006F5F5C" w:rsidRPr="008B59D5">
        <w:rPr>
          <w:rFonts w:cs="Times New Roman"/>
          <w:sz w:val="22"/>
          <w:szCs w:val="22"/>
        </w:rPr>
        <w:lastRenderedPageBreak/>
        <w:t>and life-threatening consequences</w:t>
      </w:r>
      <w:r w:rsidR="007D5779" w:rsidRPr="008B59D5">
        <w:rPr>
          <w:rFonts w:cs="Times New Roman"/>
          <w:sz w:val="22"/>
          <w:szCs w:val="22"/>
        </w:rPr>
        <w:t xml:space="preserve"> </w:t>
      </w:r>
      <w:r w:rsidR="008F66EE" w:rsidRPr="008B59D5">
        <w:rPr>
          <w:rFonts w:cs="Times New Roman"/>
          <w:sz w:val="22"/>
          <w:szCs w:val="22"/>
        </w:rPr>
        <w:fldChar w:fldCharType="begin"/>
      </w:r>
      <w:r w:rsidR="007F2092" w:rsidRPr="008B59D5">
        <w:rPr>
          <w:rFonts w:cs="Times New Roman"/>
          <w:sz w:val="22"/>
          <w:szCs w:val="22"/>
        </w:rPr>
        <w:instrText xml:space="preserve"> ADDIN EN.CITE &lt;EndNote&gt;&lt;Cite&gt;&lt;Author&gt;DiCuccio&lt;/Author&gt;&lt;Year&gt;2015&lt;/Year&gt;&lt;RecNum&gt;7&lt;/RecNum&gt;&lt;DisplayText&gt;(3)&lt;/DisplayText&gt;&lt;record&gt;&lt;rec-number&gt;7&lt;/rec-number&gt;&lt;foreign-keys&gt;&lt;key app="EN" db-id="9edrvvtztz9zr2edftkvpwpfr5xa5zxsped0" timestamp="1723108029"&gt;7&lt;/key&gt;&lt;/foreign-keys&gt;&lt;ref-type name="Journal Article"&gt;17&lt;/ref-type&gt;&lt;contributors&gt;&lt;authors&gt;&lt;author&gt;DiCuccio, Margaret Hardt&lt;/author&gt;&lt;/authors&gt;&lt;/contributors&gt;&lt;titles&gt;&lt;title&gt;The relationship between patient safety culture and patient outcomes: a systematic review&lt;/title&gt;&lt;secondary-title&gt;Journal of patient safety&lt;/secondary-title&gt;&lt;/titles&gt;&lt;periodical&gt;&lt;full-title&gt;Journal of patient safety&lt;/full-title&gt;&lt;/periodical&gt;&lt;pages&gt;135-142&lt;/pages&gt;&lt;volume&gt;11&lt;/volume&gt;&lt;number&gt;3&lt;/number&gt;&lt;dates&gt;&lt;year&gt;2015&lt;/year&gt;&lt;/dates&gt;&lt;isbn&gt;1549-8417&lt;/isbn&gt;&lt;urls&gt;&lt;/urls&gt;&lt;/record&gt;&lt;/Cite&gt;&lt;/EndNote&gt;</w:instrText>
      </w:r>
      <w:r w:rsidR="008F66EE" w:rsidRPr="008B59D5">
        <w:rPr>
          <w:rFonts w:cs="Times New Roman"/>
          <w:sz w:val="22"/>
          <w:szCs w:val="22"/>
        </w:rPr>
        <w:fldChar w:fldCharType="separate"/>
      </w:r>
      <w:r w:rsidR="007F2092" w:rsidRPr="008B59D5">
        <w:rPr>
          <w:rFonts w:cs="Times New Roman"/>
          <w:noProof/>
          <w:sz w:val="22"/>
          <w:szCs w:val="22"/>
        </w:rPr>
        <w:t>(3)</w:t>
      </w:r>
      <w:r w:rsidR="008F66EE" w:rsidRPr="008B59D5">
        <w:rPr>
          <w:rFonts w:cs="Times New Roman"/>
          <w:sz w:val="22"/>
          <w:szCs w:val="22"/>
        </w:rPr>
        <w:fldChar w:fldCharType="end"/>
      </w:r>
      <w:r w:rsidR="006F5F5C" w:rsidRPr="008B59D5">
        <w:rPr>
          <w:rFonts w:cs="Times New Roman"/>
          <w:sz w:val="22"/>
          <w:szCs w:val="22"/>
        </w:rPr>
        <w:t xml:space="preserve">. </w:t>
      </w:r>
      <w:r w:rsidR="00C64F65" w:rsidRPr="008B59D5">
        <w:rPr>
          <w:rFonts w:cs="Times New Roman"/>
          <w:sz w:val="22"/>
          <w:szCs w:val="22"/>
        </w:rPr>
        <w:t>The World Health Organization</w:t>
      </w:r>
      <w:r w:rsidR="004D3578" w:rsidRPr="008B59D5">
        <w:rPr>
          <w:rFonts w:cs="Times New Roman"/>
          <w:sz w:val="22"/>
          <w:szCs w:val="22"/>
        </w:rPr>
        <w:t xml:space="preserve"> (WHO)</w:t>
      </w:r>
      <w:r w:rsidR="00C64F65" w:rsidRPr="008B59D5">
        <w:rPr>
          <w:rFonts w:cs="Times New Roman"/>
          <w:sz w:val="22"/>
          <w:szCs w:val="22"/>
        </w:rPr>
        <w:t xml:space="preserve"> aims to reduce avoidable harm related to medications by 50% by 2022</w:t>
      </w:r>
      <w:r w:rsidR="00FD51EE" w:rsidRPr="008B59D5">
        <w:rPr>
          <w:rFonts w:cs="Times New Roman"/>
          <w:sz w:val="22"/>
          <w:szCs w:val="22"/>
        </w:rPr>
        <w:t xml:space="preserve"> </w:t>
      </w:r>
      <w:r w:rsidR="00FD51EE" w:rsidRPr="008B59D5">
        <w:rPr>
          <w:rFonts w:cs="Times New Roman"/>
          <w:sz w:val="22"/>
          <w:szCs w:val="22"/>
        </w:rPr>
        <w:fldChar w:fldCharType="begin"/>
      </w:r>
      <w:r w:rsidR="007F2092" w:rsidRPr="008B59D5">
        <w:rPr>
          <w:rFonts w:cs="Times New Roman"/>
          <w:sz w:val="22"/>
          <w:szCs w:val="22"/>
        </w:rPr>
        <w:instrText xml:space="preserve"> ADDIN EN.CITE &lt;EndNote&gt;&lt;Cite&gt;&lt;Author&gt;Organization&lt;/Author&gt;&lt;Year&gt;2024&lt;/Year&gt;&lt;RecNum&gt;8&lt;/RecNum&gt;&lt;DisplayText&gt;(4)&lt;/DisplayText&gt;&lt;record&gt;&lt;rec-number&gt;8&lt;/rec-number&gt;&lt;foreign-keys&gt;&lt;key app="EN" db-id="9edrvvtztz9zr2edftkvpwpfr5xa5zxsped0" timestamp="1723108180"&gt;8&lt;/key&gt;&lt;/foreign-keys&gt;&lt;ref-type name="Journal Article"&gt;17&lt;/ref-type&gt;&lt;contributors&gt;&lt;authors&gt;&lt;author&gt;World Health Organization&lt;/author&gt;&lt;/authors&gt;&lt;/contributors&gt;&lt;titles&gt;&lt;title&gt;Global burden of preventable medication-related harm in health care: a systematic review&lt;/title&gt;&lt;/titles&gt;&lt;dates&gt;&lt;year&gt;2024&lt;/year&gt;&lt;/dates&gt;&lt;isbn&gt;9240088881&lt;/isbn&gt;&lt;urls&gt;&lt;/urls&gt;&lt;/record&gt;&lt;/Cite&gt;&lt;/EndNote&gt;</w:instrText>
      </w:r>
      <w:r w:rsidR="00FD51EE" w:rsidRPr="008B59D5">
        <w:rPr>
          <w:rFonts w:cs="Times New Roman"/>
          <w:sz w:val="22"/>
          <w:szCs w:val="22"/>
        </w:rPr>
        <w:fldChar w:fldCharType="separate"/>
      </w:r>
      <w:r w:rsidR="007F2092" w:rsidRPr="008B59D5">
        <w:rPr>
          <w:rFonts w:cs="Times New Roman"/>
          <w:noProof/>
          <w:sz w:val="22"/>
          <w:szCs w:val="22"/>
        </w:rPr>
        <w:t>(4)</w:t>
      </w:r>
      <w:r w:rsidR="00FD51EE" w:rsidRPr="008B59D5">
        <w:rPr>
          <w:rFonts w:cs="Times New Roman"/>
          <w:sz w:val="22"/>
          <w:szCs w:val="22"/>
        </w:rPr>
        <w:fldChar w:fldCharType="end"/>
      </w:r>
      <w:r w:rsidR="00C64F65" w:rsidRPr="008B59D5">
        <w:rPr>
          <w:rFonts w:cs="Times New Roman"/>
          <w:sz w:val="22"/>
          <w:szCs w:val="22"/>
        </w:rPr>
        <w:t xml:space="preserve">. </w:t>
      </w:r>
    </w:p>
    <w:p w14:paraId="2BEF673A" w14:textId="41FC707B" w:rsidR="007E59B5" w:rsidRPr="008B59D5" w:rsidRDefault="00CA19FA" w:rsidP="008B59D5">
      <w:pPr>
        <w:spacing w:line="240" w:lineRule="auto"/>
        <w:rPr>
          <w:rFonts w:cs="Times New Roman"/>
          <w:sz w:val="22"/>
          <w:szCs w:val="22"/>
        </w:rPr>
      </w:pPr>
      <w:r w:rsidRPr="008B59D5">
        <w:rPr>
          <w:rFonts w:cs="Times New Roman"/>
          <w:sz w:val="22"/>
          <w:szCs w:val="22"/>
        </w:rPr>
        <w:t xml:space="preserve">The Institute of Medicine's </w:t>
      </w:r>
      <w:r w:rsidR="00EF7BB4" w:rsidRPr="008B59D5">
        <w:rPr>
          <w:rFonts w:cs="Times New Roman"/>
          <w:sz w:val="22"/>
          <w:szCs w:val="22"/>
        </w:rPr>
        <w:t>“</w:t>
      </w:r>
      <w:r w:rsidR="007D5779" w:rsidRPr="008B59D5">
        <w:rPr>
          <w:rFonts w:cs="Times New Roman"/>
          <w:sz w:val="22"/>
          <w:szCs w:val="22"/>
        </w:rPr>
        <w:t>T</w:t>
      </w:r>
      <w:r w:rsidRPr="008B59D5">
        <w:rPr>
          <w:rFonts w:cs="Times New Roman"/>
          <w:sz w:val="22"/>
          <w:szCs w:val="22"/>
        </w:rPr>
        <w:t>o Err Is Human</w:t>
      </w:r>
      <w:r w:rsidR="00EF7BB4" w:rsidRPr="008B59D5">
        <w:rPr>
          <w:rFonts w:cs="Times New Roman"/>
          <w:sz w:val="22"/>
          <w:szCs w:val="22"/>
        </w:rPr>
        <w:t>”</w:t>
      </w:r>
      <w:r w:rsidRPr="008B59D5">
        <w:rPr>
          <w:rFonts w:cs="Times New Roman"/>
          <w:sz w:val="22"/>
          <w:szCs w:val="22"/>
        </w:rPr>
        <w:t xml:space="preserve"> emphasizes the duty of medical practitioners to enhance patient safety culture. </w:t>
      </w:r>
      <w:r w:rsidR="006F5F5C" w:rsidRPr="008B59D5">
        <w:rPr>
          <w:rFonts w:cs="Times New Roman"/>
          <w:sz w:val="22"/>
          <w:szCs w:val="22"/>
        </w:rPr>
        <w:t xml:space="preserve">Preserving and maintaining patient safety </w:t>
      </w:r>
      <w:r w:rsidR="00C64F65" w:rsidRPr="008B59D5">
        <w:rPr>
          <w:rFonts w:cs="Times New Roman"/>
          <w:sz w:val="22"/>
          <w:szCs w:val="22"/>
        </w:rPr>
        <w:t>has been</w:t>
      </w:r>
      <w:r w:rsidR="006F5F5C" w:rsidRPr="008B59D5">
        <w:rPr>
          <w:rFonts w:cs="Times New Roman"/>
          <w:sz w:val="22"/>
          <w:szCs w:val="22"/>
        </w:rPr>
        <w:t xml:space="preserve"> highly valued economically, humanely, and ethically in hospital environments</w:t>
      </w:r>
      <w:r w:rsidR="00213BC6" w:rsidRPr="008B59D5">
        <w:rPr>
          <w:rFonts w:cs="Times New Roman"/>
          <w:sz w:val="22"/>
          <w:szCs w:val="22"/>
        </w:rPr>
        <w:t xml:space="preserve"> </w:t>
      </w:r>
      <w:r w:rsidR="00213BC6" w:rsidRPr="008B59D5">
        <w:rPr>
          <w:rFonts w:cs="Times New Roman"/>
          <w:sz w:val="22"/>
          <w:szCs w:val="22"/>
        </w:rPr>
        <w:fldChar w:fldCharType="begin"/>
      </w:r>
      <w:r w:rsidR="007F2092" w:rsidRPr="008B59D5">
        <w:rPr>
          <w:rFonts w:cs="Times New Roman"/>
          <w:sz w:val="22"/>
          <w:szCs w:val="22"/>
        </w:rPr>
        <w:instrText xml:space="preserve"> ADDIN EN.CITE &lt;EndNote&gt;&lt;Cite&gt;&lt;Author&gt;Weyulu&lt;/Author&gt;&lt;Year&gt;2022&lt;/Year&gt;&lt;RecNum&gt;10&lt;/RecNum&gt;&lt;DisplayText&gt;(5)&lt;/DisplayText&gt;&lt;record&gt;&lt;rec-number&gt;10&lt;/rec-number&gt;&lt;foreign-keys&gt;&lt;key app="EN" db-id="9edrvvtztz9zr2edftkvpwpfr5xa5zxsped0" timestamp="1723108295"&gt;10&lt;/key&gt;&lt;/foreign-keys&gt;&lt;ref-type name="Thesis"&gt;32&lt;/ref-type&gt;&lt;contributors&gt;&lt;authors&gt;&lt;author&gt;Weyulu, Cornelius Vataleni&lt;/author&gt;&lt;/authors&gt;&lt;/contributors&gt;&lt;titles&gt;&lt;title&gt;Safeguarding patient safety in healthcare settings in Namibia: An appraisal of the regulatory framework governing healthcare professionals’ conduct and practice&lt;/title&gt;&lt;/titles&gt;&lt;dates&gt;&lt;year&gt;2022&lt;/year&gt;&lt;/dates&gt;&lt;publisher&gt;University of Namibia&lt;/publisher&gt;&lt;urls&gt;&lt;/urls&gt;&lt;/record&gt;&lt;/Cite&gt;&lt;/EndNote&gt;</w:instrText>
      </w:r>
      <w:r w:rsidR="00213BC6" w:rsidRPr="008B59D5">
        <w:rPr>
          <w:rFonts w:cs="Times New Roman"/>
          <w:sz w:val="22"/>
          <w:szCs w:val="22"/>
        </w:rPr>
        <w:fldChar w:fldCharType="separate"/>
      </w:r>
      <w:r w:rsidR="007F2092" w:rsidRPr="008B59D5">
        <w:rPr>
          <w:rFonts w:cs="Times New Roman"/>
          <w:noProof/>
          <w:sz w:val="22"/>
          <w:szCs w:val="22"/>
        </w:rPr>
        <w:t>(5)</w:t>
      </w:r>
      <w:r w:rsidR="00213BC6" w:rsidRPr="008B59D5">
        <w:rPr>
          <w:rFonts w:cs="Times New Roman"/>
          <w:sz w:val="22"/>
          <w:szCs w:val="22"/>
        </w:rPr>
        <w:fldChar w:fldCharType="end"/>
      </w:r>
      <w:r w:rsidR="006F5F5C" w:rsidRPr="008B59D5">
        <w:rPr>
          <w:rFonts w:cs="Times New Roman"/>
          <w:sz w:val="22"/>
          <w:szCs w:val="22"/>
        </w:rPr>
        <w:t xml:space="preserve">. Productive resource utilization can improve </w:t>
      </w:r>
      <w:r w:rsidR="007D5779" w:rsidRPr="008B59D5">
        <w:rPr>
          <w:rFonts w:cs="Times New Roman"/>
          <w:sz w:val="22"/>
          <w:szCs w:val="22"/>
        </w:rPr>
        <w:t xml:space="preserve">the </w:t>
      </w:r>
      <w:r w:rsidR="006F5F5C" w:rsidRPr="008B59D5">
        <w:rPr>
          <w:rFonts w:cs="Times New Roman"/>
          <w:sz w:val="22"/>
          <w:szCs w:val="22"/>
        </w:rPr>
        <w:t xml:space="preserve">quality time spent treating patients and reduce </w:t>
      </w:r>
      <w:r w:rsidR="007D5779" w:rsidRPr="008B59D5">
        <w:rPr>
          <w:rFonts w:cs="Times New Roman"/>
          <w:sz w:val="22"/>
          <w:szCs w:val="22"/>
        </w:rPr>
        <w:t xml:space="preserve">the </w:t>
      </w:r>
      <w:r w:rsidR="006F5F5C" w:rsidRPr="008B59D5">
        <w:rPr>
          <w:rFonts w:cs="Times New Roman"/>
          <w:sz w:val="22"/>
          <w:szCs w:val="22"/>
        </w:rPr>
        <w:t>time spent searching for medical supplies and devices</w:t>
      </w:r>
      <w:r w:rsidR="0090318F" w:rsidRPr="008B59D5">
        <w:rPr>
          <w:rFonts w:cs="Times New Roman"/>
          <w:sz w:val="22"/>
          <w:szCs w:val="22"/>
        </w:rPr>
        <w:t xml:space="preserve"> </w:t>
      </w:r>
      <w:r w:rsidR="0090318F" w:rsidRPr="008B59D5">
        <w:rPr>
          <w:rFonts w:cs="Times New Roman"/>
          <w:sz w:val="22"/>
          <w:szCs w:val="22"/>
        </w:rPr>
        <w:fldChar w:fldCharType="begin"/>
      </w:r>
      <w:r w:rsidR="007F2092" w:rsidRPr="008B59D5">
        <w:rPr>
          <w:rFonts w:cs="Times New Roman"/>
          <w:sz w:val="22"/>
          <w:szCs w:val="22"/>
        </w:rPr>
        <w:instrText xml:space="preserve"> ADDIN EN.CITE &lt;EndNote&gt;&lt;Cite&gt;&lt;Author&gt;Lee&lt;/Author&gt;&lt;Year&gt;2016&lt;/Year&gt;&lt;RecNum&gt;134&lt;/RecNum&gt;&lt;DisplayText&gt;(6, 7)&lt;/DisplayText&gt;&lt;record&gt;&lt;rec-number&gt;134&lt;/rec-number&gt;&lt;foreign-keys&gt;&lt;key app="EN" db-id="atd5wdxd65z0fqe520up2zer9v5w20swx5az" timestamp="1723183719"&gt;134&lt;/key&gt;&lt;/foreign-keys&gt;&lt;ref-type name="Journal Article"&gt;17&lt;/ref-type&gt;&lt;contributors&gt;&lt;authors&gt;&lt;author&gt;Lee, Soo-Hoon&lt;/author&gt;&lt;author&gt;Phan, Phillip H&lt;/author&gt;&lt;author&gt;Dorman, Todd&lt;/author&gt;&lt;author&gt;Weaver, Sallie J&lt;/author&gt;&lt;author&gt;Pronovost, Peter J&lt;/author&gt;&lt;/authors&gt;&lt;/contributors&gt;&lt;titles&gt;&lt;title&gt;Handoffs, safety culture, and practices: evidence from the hospital survey on patient safety culture&lt;/title&gt;&lt;secondary-title&gt;BMC health services research&lt;/secondary-title&gt;&lt;/titles&gt;&lt;periodical&gt;&lt;full-title&gt;BMC Health Services Research&lt;/full-title&gt;&lt;/periodical&gt;&lt;pages&gt;1-8&lt;/pages&gt;&lt;volume&gt;16&lt;/volume&gt;&lt;dates&gt;&lt;year&gt;2016&lt;/year&gt;&lt;/dates&gt;&lt;urls&gt;&lt;/urls&gt;&lt;/record&gt;&lt;/Cite&gt;&lt;Cite&gt;&lt;Author&gt;Phiri&lt;/Author&gt;&lt;Year&gt;2024&lt;/Year&gt;&lt;RecNum&gt;1&lt;/RecNum&gt;&lt;record&gt;&lt;rec-number&gt;1&lt;/rec-number&gt;&lt;foreign-keys&gt;&lt;key app="EN" db-id="rtxr9z5eu002f3e5tdsp0psisaf5s9swzpp2" timestamp="1735018644"&gt;1&lt;/key&gt;&lt;/foreign-keys&gt;&lt;ref-type name="Book"&gt;6&lt;/ref-type&gt;&lt;contributors&gt;&lt;authors&gt;&lt;author&gt;Phiri, Annie Kachepa&lt;/author&gt;&lt;author&gt;Juba, Omolara Oluseun&lt;/author&gt;&lt;author&gt;Baladaniya, Maheshkumar&lt;/author&gt;&lt;author&gt;Regal, Hassan Yousif Adam&lt;/author&gt;&lt;author&gt;Nteziryayo, Theoneste&lt;/author&gt;&lt;/authors&gt;&lt;/contributors&gt;&lt;titles&gt;&lt;title&gt;Strategies for quality health standards&lt;/title&gt;&lt;/titles&gt;&lt;dates&gt;&lt;year&gt;2024&lt;/year&gt;&lt;/dates&gt;&lt;publisher&gt;Cari Journals USA LLC&lt;/publisher&gt;&lt;isbn&gt;9914980406&lt;/isbn&gt;&lt;urls&gt;&lt;/urls&gt;&lt;/record&gt;&lt;/Cite&gt;&lt;/EndNote&gt;</w:instrText>
      </w:r>
      <w:r w:rsidR="0090318F" w:rsidRPr="008B59D5">
        <w:rPr>
          <w:rFonts w:cs="Times New Roman"/>
          <w:sz w:val="22"/>
          <w:szCs w:val="22"/>
        </w:rPr>
        <w:fldChar w:fldCharType="separate"/>
      </w:r>
      <w:r w:rsidR="007F2092" w:rsidRPr="008B59D5">
        <w:rPr>
          <w:rFonts w:cs="Times New Roman"/>
          <w:noProof/>
          <w:sz w:val="22"/>
          <w:szCs w:val="22"/>
        </w:rPr>
        <w:t>(6, 7)</w:t>
      </w:r>
      <w:r w:rsidR="0090318F" w:rsidRPr="008B59D5">
        <w:rPr>
          <w:rFonts w:cs="Times New Roman"/>
          <w:sz w:val="22"/>
          <w:szCs w:val="22"/>
        </w:rPr>
        <w:fldChar w:fldCharType="end"/>
      </w:r>
      <w:r w:rsidR="006F5F5C" w:rsidRPr="008B59D5">
        <w:rPr>
          <w:rFonts w:cs="Times New Roman"/>
          <w:sz w:val="22"/>
          <w:szCs w:val="22"/>
        </w:rPr>
        <w:t>.</w:t>
      </w:r>
      <w:r w:rsidR="00806FEB" w:rsidRPr="008B59D5">
        <w:rPr>
          <w:rFonts w:cs="Times New Roman"/>
          <w:sz w:val="22"/>
          <w:szCs w:val="22"/>
        </w:rPr>
        <w:t xml:space="preserve"> According to Biondi et al. (2016), higher resource utilization in hospitals is positively associated with patient satisfaction, suggesting that hospitals with higher per-patient expenditures may receive higher ratings and appear more attractive to healthcare consumers </w:t>
      </w:r>
      <w:r w:rsidR="00806FEB" w:rsidRPr="008B59D5">
        <w:rPr>
          <w:rFonts w:cs="Times New Roman"/>
          <w:sz w:val="22"/>
          <w:szCs w:val="22"/>
        </w:rPr>
        <w:fldChar w:fldCharType="begin"/>
      </w:r>
      <w:r w:rsidR="007F2092" w:rsidRPr="008B59D5">
        <w:rPr>
          <w:rFonts w:cs="Times New Roman"/>
          <w:sz w:val="22"/>
          <w:szCs w:val="22"/>
        </w:rPr>
        <w:instrText xml:space="preserve"> ADDIN EN.CITE &lt;EndNote&gt;&lt;Cite&gt;&lt;Author&gt;Biondi&lt;/Author&gt;&lt;Year&gt;2016&lt;/Year&gt;&lt;RecNum&gt;2&lt;/RecNum&gt;&lt;DisplayText&gt;(8)&lt;/DisplayText&gt;&lt;record&gt;&lt;rec-number&gt;2&lt;/rec-number&gt;&lt;foreign-keys&gt;&lt;key app="EN" db-id="rtxr9z5eu002f3e5tdsp0psisaf5s9swzpp2" timestamp="1735018735"&gt;2&lt;/key&gt;&lt;/foreign-keys&gt;&lt;ref-type name="Journal Article"&gt;17&lt;/ref-type&gt;&lt;contributors&gt;&lt;authors&gt;&lt;author&gt;Biondi, Eric A&lt;/author&gt;&lt;author&gt;Hall, Matthew&lt;/author&gt;&lt;author&gt;Leonard, Michael S&lt;/author&gt;&lt;author&gt;Pirraglia, Paul A&lt;/author&gt;&lt;author&gt;Alverson, Brian K&lt;/author&gt;&lt;/authors&gt;&lt;/contributors&gt;&lt;titles&gt;&lt;title&gt;Association between resource utilization and patient satisfaction at a tertiary care medical center&lt;/title&gt;&lt;secondary-title&gt;Journal of hospital medicine&lt;/secondary-title&gt;&lt;/titles&gt;&lt;periodical&gt;&lt;full-title&gt;Journal of hospital medicine&lt;/full-title&gt;&lt;/periodical&gt;&lt;pages&gt;785-791&lt;/pages&gt;&lt;volume&gt;11&lt;/volume&gt;&lt;number&gt;11&lt;/number&gt;&lt;dates&gt;&lt;year&gt;2016&lt;/year&gt;&lt;/dates&gt;&lt;isbn&gt;1553-5592&lt;/isbn&gt;&lt;urls&gt;&lt;/urls&gt;&lt;/record&gt;&lt;/Cite&gt;&lt;/EndNote&gt;</w:instrText>
      </w:r>
      <w:r w:rsidR="00806FEB" w:rsidRPr="008B59D5">
        <w:rPr>
          <w:rFonts w:cs="Times New Roman"/>
          <w:sz w:val="22"/>
          <w:szCs w:val="22"/>
        </w:rPr>
        <w:fldChar w:fldCharType="separate"/>
      </w:r>
      <w:r w:rsidR="007F2092" w:rsidRPr="008B59D5">
        <w:rPr>
          <w:rFonts w:cs="Times New Roman"/>
          <w:noProof/>
          <w:sz w:val="22"/>
          <w:szCs w:val="22"/>
        </w:rPr>
        <w:t>(8)</w:t>
      </w:r>
      <w:r w:rsidR="00806FEB" w:rsidRPr="008B59D5">
        <w:rPr>
          <w:rFonts w:cs="Times New Roman"/>
          <w:sz w:val="22"/>
          <w:szCs w:val="22"/>
        </w:rPr>
        <w:fldChar w:fldCharType="end"/>
      </w:r>
      <w:r w:rsidR="00806FEB" w:rsidRPr="008B59D5">
        <w:rPr>
          <w:rFonts w:cs="Times New Roman"/>
          <w:sz w:val="22"/>
          <w:szCs w:val="22"/>
        </w:rPr>
        <w:t>.</w:t>
      </w:r>
    </w:p>
    <w:p w14:paraId="1A57E188" w14:textId="561AF4FC" w:rsidR="008F66EE" w:rsidRPr="008B59D5" w:rsidRDefault="00A5766F" w:rsidP="008B59D5">
      <w:pPr>
        <w:spacing w:line="240" w:lineRule="auto"/>
        <w:rPr>
          <w:rFonts w:cs="Times New Roman"/>
          <w:sz w:val="22"/>
          <w:szCs w:val="22"/>
        </w:rPr>
      </w:pPr>
      <w:r w:rsidRPr="008B59D5">
        <w:rPr>
          <w:rFonts w:cs="Times New Roman"/>
          <w:sz w:val="22"/>
          <w:szCs w:val="22"/>
        </w:rPr>
        <w:t xml:space="preserve">An incident reporting system, such as occurrence variance reporting (OVR), is </w:t>
      </w:r>
      <w:r w:rsidR="007D5779" w:rsidRPr="008B59D5">
        <w:rPr>
          <w:rFonts w:cs="Times New Roman"/>
          <w:sz w:val="22"/>
          <w:szCs w:val="22"/>
        </w:rPr>
        <w:t>essent</w:t>
      </w:r>
      <w:r w:rsidRPr="008B59D5">
        <w:rPr>
          <w:rFonts w:cs="Times New Roman"/>
          <w:sz w:val="22"/>
          <w:szCs w:val="22"/>
        </w:rPr>
        <w:t xml:space="preserve">ial for </w:t>
      </w:r>
      <w:r w:rsidR="007D5779" w:rsidRPr="008B59D5">
        <w:rPr>
          <w:rFonts w:cs="Times New Roman"/>
          <w:sz w:val="22"/>
          <w:szCs w:val="22"/>
        </w:rPr>
        <w:t>enhanc</w:t>
      </w:r>
      <w:r w:rsidRPr="008B59D5">
        <w:rPr>
          <w:rFonts w:cs="Times New Roman"/>
          <w:sz w:val="22"/>
          <w:szCs w:val="22"/>
        </w:rPr>
        <w:t>ing patient safety and m</w:t>
      </w:r>
      <w:r w:rsidR="007D5779" w:rsidRPr="008B59D5">
        <w:rPr>
          <w:rFonts w:cs="Times New Roman"/>
          <w:sz w:val="22"/>
          <w:szCs w:val="22"/>
        </w:rPr>
        <w:t>itigat</w:t>
      </w:r>
      <w:r w:rsidRPr="008B59D5">
        <w:rPr>
          <w:rFonts w:cs="Times New Roman"/>
          <w:sz w:val="22"/>
          <w:szCs w:val="22"/>
        </w:rPr>
        <w:t xml:space="preserve">ing organizational risk. </w:t>
      </w:r>
      <w:r w:rsidR="00B66104" w:rsidRPr="008B59D5">
        <w:rPr>
          <w:rFonts w:cs="Times New Roman"/>
          <w:sz w:val="22"/>
          <w:szCs w:val="22"/>
        </w:rPr>
        <w:t xml:space="preserve">The reporting system gathers and records patient safety incidents </w:t>
      </w:r>
      <w:r w:rsidR="007D5779" w:rsidRPr="008B59D5">
        <w:rPr>
          <w:rFonts w:cs="Times New Roman"/>
          <w:sz w:val="22"/>
          <w:szCs w:val="22"/>
        </w:rPr>
        <w:t>that affect</w:t>
      </w:r>
      <w:r w:rsidR="00B66104" w:rsidRPr="008B59D5">
        <w:rPr>
          <w:rFonts w:cs="Times New Roman"/>
          <w:sz w:val="22"/>
          <w:szCs w:val="22"/>
        </w:rPr>
        <w:t xml:space="preserve"> families and healthcare staff, </w:t>
      </w:r>
      <w:r w:rsidR="007D5779" w:rsidRPr="008B59D5">
        <w:rPr>
          <w:rFonts w:cs="Times New Roman"/>
          <w:sz w:val="22"/>
          <w:szCs w:val="22"/>
        </w:rPr>
        <w:t>involving</w:t>
      </w:r>
      <w:r w:rsidR="00B66104" w:rsidRPr="008B59D5">
        <w:rPr>
          <w:rFonts w:cs="Times New Roman"/>
          <w:sz w:val="22"/>
          <w:szCs w:val="22"/>
        </w:rPr>
        <w:t xml:space="preserve"> </w:t>
      </w:r>
      <w:r w:rsidR="007D5779" w:rsidRPr="008B59D5">
        <w:rPr>
          <w:rFonts w:cs="Times New Roman"/>
          <w:sz w:val="22"/>
          <w:szCs w:val="22"/>
        </w:rPr>
        <w:t>the</w:t>
      </w:r>
      <w:r w:rsidR="00B66104" w:rsidRPr="008B59D5">
        <w:rPr>
          <w:rFonts w:cs="Times New Roman"/>
          <w:sz w:val="22"/>
          <w:szCs w:val="22"/>
        </w:rPr>
        <w:t xml:space="preserve"> voluntary reporting of events that contradict routine policies, such as prescribing, order communication, product labeling, packaging, and nomenclature</w:t>
      </w:r>
      <w:r w:rsidR="008F66EE" w:rsidRPr="008B59D5">
        <w:rPr>
          <w:rFonts w:cs="Times New Roman"/>
          <w:sz w:val="22"/>
          <w:szCs w:val="22"/>
        </w:rPr>
        <w:t xml:space="preserve"> </w:t>
      </w:r>
      <w:r w:rsidR="008F66EE" w:rsidRPr="008B59D5">
        <w:rPr>
          <w:rFonts w:cs="Times New Roman"/>
          <w:sz w:val="22"/>
          <w:szCs w:val="22"/>
        </w:rPr>
        <w:fldChar w:fldCharType="begin"/>
      </w:r>
      <w:r w:rsidR="007F2092" w:rsidRPr="008B59D5">
        <w:rPr>
          <w:rFonts w:cs="Times New Roman"/>
          <w:sz w:val="22"/>
          <w:szCs w:val="22"/>
        </w:rPr>
        <w:instrText xml:space="preserve"> ADDIN EN.CITE &lt;EndNote&gt;&lt;Cite&gt;&lt;Author&gt;Albarrak&lt;/Author&gt;&lt;Year&gt;2020&lt;/Year&gt;&lt;RecNum&gt;135&lt;/RecNum&gt;&lt;DisplayText&gt;(9, 10)&lt;/DisplayText&gt;&lt;record&gt;&lt;rec-number&gt;135&lt;/rec-number&gt;&lt;foreign-keys&gt;&lt;key app="EN" db-id="atd5wdxd65z0fqe520up2zer9v5w20swx5az" timestamp="1723188015"&gt;135&lt;/key&gt;&lt;/foreign-keys&gt;&lt;ref-type name="Journal Article"&gt;17&lt;/ref-type&gt;&lt;contributors&gt;&lt;authors&gt;&lt;author&gt;Albarrak, Ahmed I&lt;/author&gt;&lt;author&gt;Almansour, Ammar S&lt;/author&gt;&lt;author&gt;Alzahrani, Ali A&lt;/author&gt;&lt;author&gt;Almalki, Abdulaziz H&lt;/author&gt;&lt;author&gt;Alshehri, Abdulrahman A&lt;/author&gt;&lt;author&gt;Mohammed, Rafiuddin&lt;/author&gt;&lt;/authors&gt;&lt;/contributors&gt;&lt;titles&gt;&lt;title&gt;Assessment of patient safety challenges and electronic occurrence variance reporting (e-OVR) barriers facing physicians and nurses in the emergency department: a cross sectional study&lt;/title&gt;&lt;secondary-title&gt;BMC emergency medicine&lt;/secondary-title&gt;&lt;/titles&gt;&lt;periodical&gt;&lt;full-title&gt;BMC emergency medicine&lt;/full-title&gt;&lt;/periodical&gt;&lt;pages&gt;1-8&lt;/pages&gt;&lt;volume&gt;20&lt;/volume&gt;&lt;dates&gt;&lt;year&gt;2020&lt;/year&gt;&lt;/dates&gt;&lt;urls&gt;&lt;/urls&gt;&lt;/record&gt;&lt;/Cite&gt;&lt;Cite&gt;&lt;Author&gt;Salem&lt;/Author&gt;&lt;Year&gt;2023&lt;/Year&gt;&lt;RecNum&gt;1&lt;/RecNum&gt;&lt;record&gt;&lt;rec-number&gt;1&lt;/rec-number&gt;&lt;foreign-keys&gt;&lt;key app="EN" db-id="2wxa0w5pkfpazbewdpxpa9rfsws0f05prefd" timestamp="1723108451"&gt;1&lt;/key&gt;&lt;/foreign-keys&gt;&lt;ref-type name="Journal Article"&gt;17&lt;/ref-type&gt;&lt;contributors&gt;&lt;authors&gt;&lt;author&gt;Salem, Marwa&lt;/author&gt;&lt;author&gt;Elsayed, Heba&lt;/author&gt;&lt;author&gt;Nofal, Pansaia&lt;/author&gt;&lt;author&gt;Dahroug, Eman Hosny&lt;/author&gt;&lt;author&gt;Elzoghby, Salma&lt;/author&gt;&lt;author&gt;Azzam, Mohamed&lt;/author&gt;&lt;author&gt;Gamal, Ahmed&lt;/author&gt;&lt;author&gt;Elaraby, Kariem&lt;/author&gt;&lt;/authors&gt;&lt;/contributors&gt;&lt;titles&gt;&lt;title&gt;Improving job performance in the hospitals by Occurrence Variance Reporting&lt;/title&gt;&lt;secondary-title&gt;Medicine Updates&lt;/secondary-title&gt;&lt;/titles&gt;&lt;periodical&gt;&lt;full-title&gt;Medicine Updates&lt;/full-title&gt;&lt;/periodical&gt;&lt;pages&gt;58-62&lt;/pages&gt;&lt;volume&gt;12&lt;/volume&gt;&lt;number&gt;12&lt;/number&gt;&lt;dates&gt;&lt;year&gt;2023&lt;/year&gt;&lt;/dates&gt;&lt;urls&gt;&lt;/urls&gt;&lt;/record&gt;&lt;/Cite&gt;&lt;/EndNote&gt;</w:instrText>
      </w:r>
      <w:r w:rsidR="008F66EE" w:rsidRPr="008B59D5">
        <w:rPr>
          <w:rFonts w:cs="Times New Roman"/>
          <w:sz w:val="22"/>
          <w:szCs w:val="22"/>
        </w:rPr>
        <w:fldChar w:fldCharType="separate"/>
      </w:r>
      <w:r w:rsidR="007F2092" w:rsidRPr="008B59D5">
        <w:rPr>
          <w:rFonts w:cs="Times New Roman"/>
          <w:noProof/>
          <w:sz w:val="22"/>
          <w:szCs w:val="22"/>
        </w:rPr>
        <w:t>(9, 10)</w:t>
      </w:r>
      <w:r w:rsidR="008F66EE" w:rsidRPr="008B59D5">
        <w:rPr>
          <w:rFonts w:cs="Times New Roman"/>
          <w:sz w:val="22"/>
          <w:szCs w:val="22"/>
        </w:rPr>
        <w:fldChar w:fldCharType="end"/>
      </w:r>
      <w:r w:rsidR="00B66104" w:rsidRPr="008B59D5">
        <w:rPr>
          <w:rFonts w:cs="Times New Roman"/>
          <w:sz w:val="22"/>
          <w:szCs w:val="22"/>
        </w:rPr>
        <w:t xml:space="preserve">. </w:t>
      </w:r>
      <w:r w:rsidRPr="008B59D5">
        <w:rPr>
          <w:rFonts w:cs="Times New Roman"/>
          <w:sz w:val="22"/>
          <w:szCs w:val="22"/>
        </w:rPr>
        <w:t xml:space="preserve">Quick reporting among healthcare professionals helps identify causes of deviations and uses mistakes as opportunities for quality improvement and education. However, the number of reports may vary across institutions due to </w:t>
      </w:r>
      <w:r w:rsidR="00EF7BB4" w:rsidRPr="008B59D5">
        <w:rPr>
          <w:rFonts w:cs="Times New Roman"/>
          <w:sz w:val="22"/>
          <w:szCs w:val="22"/>
        </w:rPr>
        <w:t xml:space="preserve">differences in </w:t>
      </w:r>
      <w:r w:rsidRPr="008B59D5">
        <w:rPr>
          <w:rFonts w:cs="Times New Roman"/>
          <w:sz w:val="22"/>
          <w:szCs w:val="22"/>
        </w:rPr>
        <w:t xml:space="preserve">safety culture </w:t>
      </w:r>
      <w:r w:rsidR="00AE2C88" w:rsidRPr="008B59D5">
        <w:rPr>
          <w:rFonts w:cs="Times New Roman"/>
          <w:sz w:val="22"/>
          <w:szCs w:val="22"/>
        </w:rPr>
        <w:fldChar w:fldCharType="begin"/>
      </w:r>
      <w:r w:rsidR="007F2092" w:rsidRPr="008B59D5">
        <w:rPr>
          <w:rFonts w:cs="Times New Roman"/>
          <w:sz w:val="22"/>
          <w:szCs w:val="22"/>
        </w:rPr>
        <w:instrText xml:space="preserve"> ADDIN EN.CITE &lt;EndNote&gt;&lt;Cite&gt;&lt;Author&gt;Salem&lt;/Author&gt;&lt;Year&gt;2023&lt;/Year&gt;&lt;RecNum&gt;1&lt;/RecNum&gt;&lt;DisplayText&gt;(10, 11)&lt;/DisplayText&gt;&lt;record&gt;&lt;rec-number&gt;1&lt;/rec-number&gt;&lt;foreign-keys&gt;&lt;key app="EN" db-id="2wxa0w5pkfpazbewdpxpa9rfsws0f05prefd" timestamp="1723108451"&gt;1&lt;/key&gt;&lt;/foreign-keys&gt;&lt;ref-type name="Journal Article"&gt;17&lt;/ref-type&gt;&lt;contributors&gt;&lt;authors&gt;&lt;author&gt;Salem, Marwa&lt;/author&gt;&lt;author&gt;Elsayed, Heba&lt;/author&gt;&lt;author&gt;Nofal, Pansaia&lt;/author&gt;&lt;author&gt;Dahroug, Eman Hosny&lt;/author&gt;&lt;author&gt;Elzoghby, Salma&lt;/author&gt;&lt;author&gt;Azzam, Mohamed&lt;/author&gt;&lt;author&gt;Gamal, Ahmed&lt;/author&gt;&lt;author&gt;Elaraby, Kariem&lt;/author&gt;&lt;/authors&gt;&lt;/contributors&gt;&lt;titles&gt;&lt;title&gt;Improving job performance in the hospitals by Occurrence Variance Reporting&lt;/title&gt;&lt;secondary-title&gt;Medicine Updates&lt;/secondary-title&gt;&lt;/titles&gt;&lt;periodical&gt;&lt;full-title&gt;Medicine Updates&lt;/full-title&gt;&lt;/periodical&gt;&lt;pages&gt;58-62&lt;/pages&gt;&lt;volume&gt;12&lt;/volume&gt;&lt;number&gt;12&lt;/number&gt;&lt;dates&gt;&lt;year&gt;2023&lt;/year&gt;&lt;/dates&gt;&lt;urls&gt;&lt;/urls&gt;&lt;/record&gt;&lt;/Cite&gt;&lt;Cite&gt;&lt;Author&gt;Tear&lt;/Author&gt;&lt;Year&gt;2020&lt;/Year&gt;&lt;RecNum&gt;3&lt;/RecNum&gt;&lt;record&gt;&lt;rec-number&gt;3&lt;/rec-number&gt;&lt;foreign-keys&gt;&lt;key app="EN" db-id="rtxr9z5eu002f3e5tdsp0psisaf5s9swzpp2" timestamp="1735018969"&gt;3&lt;/key&gt;&lt;/foreign-keys&gt;&lt;ref-type name="Journal Article"&gt;17&lt;/ref-type&gt;&lt;contributors&gt;&lt;authors&gt;&lt;author&gt;Tear, Morgan J&lt;/author&gt;&lt;author&gt;Reader, Tom W&lt;/author&gt;&lt;author&gt;Shorrock, Steven&lt;/author&gt;&lt;author&gt;Kirwan, Barry&lt;/author&gt;&lt;/authors&gt;&lt;/contributors&gt;&lt;titles&gt;&lt;title&gt;Safety culture and power: Interactions between perceptions of safety culture, organisational hierarchy, and national culture&lt;/title&gt;&lt;secondary-title&gt;Safety science&lt;/secondary-title&gt;&lt;/titles&gt;&lt;periodical&gt;&lt;full-title&gt;Safety science&lt;/full-title&gt;&lt;/periodical&gt;&lt;pages&gt;550-561&lt;/pages&gt;&lt;volume&gt;121&lt;/volume&gt;&lt;dates&gt;&lt;year&gt;2020&lt;/year&gt;&lt;/dates&gt;&lt;isbn&gt;0925-7535&lt;/isbn&gt;&lt;urls&gt;&lt;/urls&gt;&lt;/record&gt;&lt;/Cite&gt;&lt;/EndNote&gt;</w:instrText>
      </w:r>
      <w:r w:rsidR="00AE2C88" w:rsidRPr="008B59D5">
        <w:rPr>
          <w:rFonts w:cs="Times New Roman"/>
          <w:sz w:val="22"/>
          <w:szCs w:val="22"/>
        </w:rPr>
        <w:fldChar w:fldCharType="separate"/>
      </w:r>
      <w:r w:rsidR="007F2092" w:rsidRPr="008B59D5">
        <w:rPr>
          <w:rFonts w:cs="Times New Roman"/>
          <w:noProof/>
          <w:sz w:val="22"/>
          <w:szCs w:val="22"/>
        </w:rPr>
        <w:t>(10, 11)</w:t>
      </w:r>
      <w:r w:rsidR="00AE2C88" w:rsidRPr="008B59D5">
        <w:rPr>
          <w:rFonts w:cs="Times New Roman"/>
          <w:sz w:val="22"/>
          <w:szCs w:val="22"/>
        </w:rPr>
        <w:fldChar w:fldCharType="end"/>
      </w:r>
      <w:r w:rsidRPr="008B59D5">
        <w:rPr>
          <w:rFonts w:cs="Times New Roman"/>
          <w:sz w:val="22"/>
          <w:szCs w:val="22"/>
        </w:rPr>
        <w:t xml:space="preserve">. </w:t>
      </w:r>
      <w:r w:rsidR="00C9053A" w:rsidRPr="008B59D5">
        <w:rPr>
          <w:rFonts w:cs="Times New Roman"/>
          <w:sz w:val="22"/>
          <w:szCs w:val="22"/>
        </w:rPr>
        <w:t xml:space="preserve"> </w:t>
      </w:r>
    </w:p>
    <w:p w14:paraId="3873E07E" w14:textId="59E1DA08" w:rsidR="00C9053A" w:rsidRPr="008B59D5" w:rsidRDefault="00A5766F" w:rsidP="008B59D5">
      <w:pPr>
        <w:spacing w:line="240" w:lineRule="auto"/>
        <w:rPr>
          <w:rFonts w:cs="Times New Roman"/>
          <w:sz w:val="22"/>
          <w:szCs w:val="22"/>
        </w:rPr>
      </w:pPr>
      <w:r w:rsidRPr="008B59D5">
        <w:rPr>
          <w:rFonts w:cs="Times New Roman"/>
          <w:sz w:val="22"/>
          <w:szCs w:val="22"/>
        </w:rPr>
        <w:t>The Institute for Safe Medication Practices (ISMP) has identified ten Key Elements of the Medication Use System to identify system-based causes of medication errors</w:t>
      </w:r>
      <w:r w:rsidR="00AE2C88" w:rsidRPr="008B59D5">
        <w:rPr>
          <w:rFonts w:cs="Times New Roman"/>
          <w:sz w:val="22"/>
          <w:szCs w:val="22"/>
        </w:rPr>
        <w:t xml:space="preserve"> </w:t>
      </w:r>
      <w:r w:rsidR="00AE2C88" w:rsidRPr="008B59D5">
        <w:rPr>
          <w:rFonts w:cs="Times New Roman"/>
          <w:sz w:val="22"/>
          <w:szCs w:val="22"/>
        </w:rPr>
        <w:fldChar w:fldCharType="begin"/>
      </w:r>
      <w:r w:rsidR="007F2092" w:rsidRPr="008B59D5">
        <w:rPr>
          <w:rFonts w:cs="Times New Roman"/>
          <w:sz w:val="22"/>
          <w:szCs w:val="22"/>
        </w:rPr>
        <w:instrText xml:space="preserve"> ADDIN EN.CITE &lt;EndNote&gt;&lt;Cite&gt;&lt;Author&gt;Mtawali&lt;/Author&gt;&lt;Year&gt;2021&lt;/Year&gt;&lt;RecNum&gt;2&lt;/RecNum&gt;&lt;DisplayText&gt;(12, 13)&lt;/DisplayText&gt;&lt;record&gt;&lt;rec-number&gt;2&lt;/rec-number&gt;&lt;foreign-keys&gt;&lt;key app="EN" db-id="2wxa0w5pkfpazbewdpxpa9rfsws0f05prefd" timestamp="1723108534"&gt;2&lt;/key&gt;&lt;/foreign-keys&gt;&lt;ref-type name="Journal Article"&gt;17&lt;/ref-type&gt;&lt;contributors&gt;&lt;authors&gt;&lt;author&gt;Mtawali, Tawonga&lt;/author&gt;&lt;/authors&gt;&lt;/contributors&gt;&lt;titles&gt;&lt;title&gt;How to Improve Safe Medication Practices and Prevent Medication Errors&lt;/title&gt;&lt;secondary-title&gt;magnificat&lt;/secondary-title&gt;&lt;/titles&gt;&lt;periodical&gt;&lt;full-title&gt;magnificat&lt;/full-title&gt;&lt;/periodical&gt;&lt;pages&gt;65&lt;/pages&gt;&lt;dates&gt;&lt;year&gt;2021&lt;/year&gt;&lt;/dates&gt;&lt;urls&gt;&lt;/urls&gt;&lt;/record&gt;&lt;/Cite&gt;&lt;Cite&gt;&lt;Author&gt;Vaida&lt;/Author&gt;&lt;Year&gt;2015&lt;/Year&gt;&lt;RecNum&gt;4&lt;/RecNum&gt;&lt;record&gt;&lt;rec-number&gt;4&lt;/rec-number&gt;&lt;foreign-keys&gt;&lt;key app="EN" db-id="rtxr9z5eu002f3e5tdsp0psisaf5s9swzpp2" timestamp="1735019117"&gt;4&lt;/key&gt;&lt;/foreign-keys&gt;&lt;ref-type name="Journal Article"&gt;17&lt;/ref-type&gt;&lt;contributors&gt;&lt;authors&gt;&lt;author&gt;Vaida, Allen J&lt;/author&gt;&lt;/authors&gt;&lt;/contributors&gt;&lt;titles&gt;&lt;title&gt;The Institute for Safe Medication Practices and Poison Control Centers: collaborating to prevent medication errors and unintentional poisonings&lt;/title&gt;&lt;secondary-title&gt;Journal of medical toxicology&lt;/secondary-title&gt;&lt;/titles&gt;&lt;periodical&gt;&lt;full-title&gt;Journal of medical toxicology&lt;/full-title&gt;&lt;/periodical&gt;&lt;pages&gt;262-264&lt;/pages&gt;&lt;volume&gt;11&lt;/volume&gt;&lt;dates&gt;&lt;year&gt;2015&lt;/year&gt;&lt;/dates&gt;&lt;isbn&gt;1556-9039&lt;/isbn&gt;&lt;urls&gt;&lt;/urls&gt;&lt;/record&gt;&lt;/Cite&gt;&lt;/EndNote&gt;</w:instrText>
      </w:r>
      <w:r w:rsidR="00AE2C88" w:rsidRPr="008B59D5">
        <w:rPr>
          <w:rFonts w:cs="Times New Roman"/>
          <w:sz w:val="22"/>
          <w:szCs w:val="22"/>
        </w:rPr>
        <w:fldChar w:fldCharType="separate"/>
      </w:r>
      <w:r w:rsidR="007F2092" w:rsidRPr="008B59D5">
        <w:rPr>
          <w:rFonts w:cs="Times New Roman"/>
          <w:noProof/>
          <w:sz w:val="22"/>
          <w:szCs w:val="22"/>
        </w:rPr>
        <w:t>(12, 13)</w:t>
      </w:r>
      <w:r w:rsidR="00AE2C88" w:rsidRPr="008B59D5">
        <w:rPr>
          <w:rFonts w:cs="Times New Roman"/>
          <w:sz w:val="22"/>
          <w:szCs w:val="22"/>
        </w:rPr>
        <w:fldChar w:fldCharType="end"/>
      </w:r>
      <w:r w:rsidRPr="008B59D5">
        <w:rPr>
          <w:rFonts w:cs="Times New Roman"/>
          <w:sz w:val="22"/>
          <w:szCs w:val="22"/>
        </w:rPr>
        <w:t>. Applying this concept in analyzing reported errors highlights system issues rather than individual pitfalls, ensuring patient safety and overall patient care.</w:t>
      </w:r>
      <w:r w:rsidR="00BB11FE" w:rsidRPr="008B59D5">
        <w:rPr>
          <w:rFonts w:cs="Times New Roman"/>
          <w:sz w:val="22"/>
          <w:szCs w:val="22"/>
        </w:rPr>
        <w:t xml:space="preserve"> </w:t>
      </w:r>
      <w:r w:rsidR="00750099" w:rsidRPr="008B59D5">
        <w:rPr>
          <w:rFonts w:cs="Times New Roman"/>
          <w:sz w:val="22"/>
          <w:szCs w:val="22"/>
        </w:rPr>
        <w:t>Although</w:t>
      </w:r>
      <w:r w:rsidR="001E1745" w:rsidRPr="008B59D5">
        <w:rPr>
          <w:rFonts w:cs="Times New Roman"/>
          <w:sz w:val="22"/>
          <w:szCs w:val="22"/>
        </w:rPr>
        <w:t xml:space="preserve"> p</w:t>
      </w:r>
      <w:r w:rsidR="00C9053A" w:rsidRPr="008B59D5">
        <w:rPr>
          <w:rFonts w:cs="Times New Roman"/>
          <w:sz w:val="22"/>
          <w:szCs w:val="22"/>
        </w:rPr>
        <w:t>atient safety is a global concern, and a patient safety culture amo</w:t>
      </w:r>
      <w:r w:rsidR="001E1745" w:rsidRPr="008B59D5">
        <w:rPr>
          <w:rFonts w:cs="Times New Roman"/>
          <w:sz w:val="22"/>
          <w:szCs w:val="22"/>
        </w:rPr>
        <w:t xml:space="preserve">ng healthcare staff is crucial, </w:t>
      </w:r>
      <w:r w:rsidR="00C9053A" w:rsidRPr="008B59D5">
        <w:rPr>
          <w:rFonts w:cs="Times New Roman"/>
          <w:sz w:val="22"/>
          <w:szCs w:val="22"/>
        </w:rPr>
        <w:t xml:space="preserve">Saudi Arabia </w:t>
      </w:r>
      <w:r w:rsidR="001E1745" w:rsidRPr="008B59D5">
        <w:rPr>
          <w:rFonts w:cs="Times New Roman"/>
          <w:sz w:val="22"/>
          <w:szCs w:val="22"/>
        </w:rPr>
        <w:t>has been</w:t>
      </w:r>
      <w:r w:rsidR="00C9053A" w:rsidRPr="008B59D5">
        <w:rPr>
          <w:rFonts w:cs="Times New Roman"/>
          <w:sz w:val="22"/>
          <w:szCs w:val="22"/>
        </w:rPr>
        <w:t xml:space="preserve"> investing heavily in enhancing patient safety, and assessing this culture is essential for informing policymakers about future directions</w:t>
      </w:r>
      <w:r w:rsidR="00806FEB" w:rsidRPr="008B59D5">
        <w:rPr>
          <w:rFonts w:cs="Times New Roman"/>
          <w:sz w:val="22"/>
          <w:szCs w:val="22"/>
        </w:rPr>
        <w:t xml:space="preserve"> </w:t>
      </w:r>
      <w:r w:rsidR="00806FEB" w:rsidRPr="008B59D5">
        <w:rPr>
          <w:rFonts w:cs="Times New Roman"/>
          <w:sz w:val="22"/>
          <w:szCs w:val="22"/>
        </w:rPr>
        <w:fldChar w:fldCharType="begin"/>
      </w:r>
      <w:r w:rsidR="007F2092" w:rsidRPr="008B59D5">
        <w:rPr>
          <w:rFonts w:cs="Times New Roman"/>
          <w:sz w:val="22"/>
          <w:szCs w:val="22"/>
        </w:rPr>
        <w:instrText xml:space="preserve"> ADDIN EN.CITE &lt;EndNote&gt;&lt;Cite&gt;&lt;Author&gt;Abella&lt;/Author&gt;&lt;Year&gt;2021&lt;/Year&gt;&lt;RecNum&gt;5&lt;/RecNum&gt;&lt;DisplayText&gt;(14, 15)&lt;/DisplayText&gt;&lt;record&gt;&lt;rec-number&gt;5&lt;/rec-number&gt;&lt;foreign-keys&gt;&lt;key app="EN" db-id="rtxr9z5eu002f3e5tdsp0psisaf5s9swzpp2" timestamp="1735019181"&gt;5&lt;/key&gt;&lt;/foreign-keys&gt;&lt;ref-type name="Journal Article"&gt;17&lt;/ref-type&gt;&lt;contributors&gt;&lt;authors&gt;&lt;author&gt;Abella, Jhessie L&lt;/author&gt;&lt;/authors&gt;&lt;/contributors&gt;&lt;titles&gt;&lt;title&gt;Institutional Practices of a Private Hospital in Saudi Arabia: An Initiative to Improve the Hospital’s Safety Culture&lt;/title&gt;&lt;secondary-title&gt;Journal of Patient Safety &amp;amp; Quality Improvement&lt;/secondary-title&gt;&lt;/titles&gt;&lt;periodical&gt;&lt;full-title&gt;Journal of Patient Safety &amp;amp; Quality Improvement&lt;/full-title&gt;&lt;/periodical&gt;&lt;pages&gt;121-128&lt;/pages&gt;&lt;volume&gt;9&lt;/volume&gt;&lt;number&gt;2&lt;/number&gt;&lt;dates&gt;&lt;year&gt;2021&lt;/year&gt;&lt;/dates&gt;&lt;isbn&gt;2345-4482&lt;/isbn&gt;&lt;urls&gt;&lt;/urls&gt;&lt;/record&gt;&lt;/Cite&gt;&lt;Cite&gt;&lt;Author&gt;Alahmadi&lt;/Author&gt;&lt;Year&gt;2010&lt;/Year&gt;&lt;RecNum&gt;6&lt;/RecNum&gt;&lt;record&gt;&lt;rec-number&gt;6&lt;/rec-number&gt;&lt;foreign-keys&gt;&lt;key app="EN" db-id="rtxr9z5eu002f3e5tdsp0psisaf5s9swzpp2" timestamp="1735019225"&gt;6&lt;/key&gt;&lt;/foreign-keys&gt;&lt;ref-type name="Journal Article"&gt;17&lt;/ref-type&gt;&lt;contributors&gt;&lt;authors&gt;&lt;author&gt;Alahmadi, HA&lt;/author&gt;&lt;/authors&gt;&lt;/contributors&gt;&lt;titles&gt;&lt;title&gt;Assessment of patient safety culture in Saudi Arabian hospitals&lt;/title&gt;&lt;secondary-title&gt;Quality and Safety in Health Care&lt;/secondary-title&gt;&lt;/titles&gt;&lt;periodical&gt;&lt;full-title&gt;Quality and Safety in Health Care&lt;/full-title&gt;&lt;/periodical&gt;&lt;pages&gt;e17-e17&lt;/pages&gt;&lt;volume&gt;19&lt;/volume&gt;&lt;number&gt;5&lt;/number&gt;&lt;dates&gt;&lt;year&gt;2010&lt;/year&gt;&lt;/dates&gt;&lt;isbn&gt;1475-3898&lt;/isbn&gt;&lt;urls&gt;&lt;/urls&gt;&lt;/record&gt;&lt;/Cite&gt;&lt;/EndNote&gt;</w:instrText>
      </w:r>
      <w:r w:rsidR="00806FEB" w:rsidRPr="008B59D5">
        <w:rPr>
          <w:rFonts w:cs="Times New Roman"/>
          <w:sz w:val="22"/>
          <w:szCs w:val="22"/>
        </w:rPr>
        <w:fldChar w:fldCharType="separate"/>
      </w:r>
      <w:r w:rsidR="007F2092" w:rsidRPr="008B59D5">
        <w:rPr>
          <w:rFonts w:cs="Times New Roman"/>
          <w:noProof/>
          <w:sz w:val="22"/>
          <w:szCs w:val="22"/>
        </w:rPr>
        <w:t>(14, 15)</w:t>
      </w:r>
      <w:r w:rsidR="00806FEB" w:rsidRPr="008B59D5">
        <w:rPr>
          <w:rFonts w:cs="Times New Roman"/>
          <w:sz w:val="22"/>
          <w:szCs w:val="22"/>
        </w:rPr>
        <w:fldChar w:fldCharType="end"/>
      </w:r>
      <w:r w:rsidR="00C9053A" w:rsidRPr="008B59D5">
        <w:rPr>
          <w:rFonts w:cs="Times New Roman"/>
          <w:sz w:val="22"/>
          <w:szCs w:val="22"/>
        </w:rPr>
        <w:t>. Variability in patient safety culture is evident globally, even within geographically related regions. This variability also characterizes patient safety culture in Arab countries, with potential for improvement reflecting on healthcare</w:t>
      </w:r>
      <w:r w:rsidR="00466F10" w:rsidRPr="008B59D5">
        <w:rPr>
          <w:rFonts w:cs="Times New Roman"/>
          <w:sz w:val="22"/>
          <w:szCs w:val="22"/>
        </w:rPr>
        <w:t xml:space="preserve"> </w:t>
      </w:r>
      <w:r w:rsidR="00466F10" w:rsidRPr="008B59D5">
        <w:rPr>
          <w:rFonts w:cs="Times New Roman"/>
          <w:sz w:val="22"/>
          <w:szCs w:val="22"/>
        </w:rPr>
        <w:fldChar w:fldCharType="begin"/>
      </w:r>
      <w:r w:rsidR="007F2092" w:rsidRPr="008B59D5">
        <w:rPr>
          <w:rFonts w:cs="Times New Roman"/>
          <w:sz w:val="22"/>
          <w:szCs w:val="22"/>
        </w:rPr>
        <w:instrText xml:space="preserve"> ADDIN EN.CITE &lt;EndNote&gt;&lt;Cite&gt;&lt;Author&gt;Algethami&lt;/Author&gt;&lt;Year&gt;2024&lt;/Year&gt;&lt;RecNum&gt;3&lt;/RecNum&gt;&lt;DisplayText&gt;(16)&lt;/DisplayText&gt;&lt;record&gt;&lt;rec-number&gt;3&lt;/rec-number&gt;&lt;foreign-keys&gt;&lt;key app="EN" db-id="2wxa0w5pkfpazbewdpxpa9rfsws0f05prefd" timestamp="1723108572"&gt;3&lt;/key&gt;&lt;/foreign-keys&gt;&lt;ref-type name="Journal Article"&gt;17&lt;/ref-type&gt;&lt;contributors&gt;&lt;authors&gt;&lt;author&gt;Algethami, Faiza&lt;/author&gt;&lt;author&gt;Alasmari, Abdulrahman Saad&lt;/author&gt;&lt;author&gt;Alessa, Mohammed Khalid&lt;/author&gt;&lt;author&gt;Alhamid, Abdullah Anwar&lt;/author&gt;&lt;author&gt;Ateeq, Muhannad Khalid&lt;/author&gt;&lt;author&gt;Alsulami, Hasheema&lt;/author&gt;&lt;author&gt;Elmorsy, Soha Aly&lt;/author&gt;&lt;author&gt;Alruwaili, Sultan Fatil&lt;/author&gt;&lt;/authors&gt;&lt;/contributors&gt;&lt;titles&gt;&lt;title&gt;Patient safety culture in a tertiary care hospital in Makkah, Saudi Arabia, a cross-sectional study&lt;/title&gt;&lt;secondary-title&gt;BMC Health Services Research&lt;/secondary-title&gt;&lt;/titles&gt;&lt;periodical&gt;&lt;full-title&gt;BMC Health Services Research&lt;/full-title&gt;&lt;/periodical&gt;&lt;pages&gt;883&lt;/pages&gt;&lt;volume&gt;24&lt;/volume&gt;&lt;number&gt;1&lt;/number&gt;&lt;dates&gt;&lt;year&gt;2024&lt;/year&gt;&lt;/dates&gt;&lt;isbn&gt;1472-6963&lt;/isbn&gt;&lt;urls&gt;&lt;/urls&gt;&lt;/record&gt;&lt;/Cite&gt;&lt;/EndNote&gt;</w:instrText>
      </w:r>
      <w:r w:rsidR="00466F10" w:rsidRPr="008B59D5">
        <w:rPr>
          <w:rFonts w:cs="Times New Roman"/>
          <w:sz w:val="22"/>
          <w:szCs w:val="22"/>
        </w:rPr>
        <w:fldChar w:fldCharType="separate"/>
      </w:r>
      <w:r w:rsidR="007F2092" w:rsidRPr="008B59D5">
        <w:rPr>
          <w:rFonts w:cs="Times New Roman"/>
          <w:noProof/>
          <w:sz w:val="22"/>
          <w:szCs w:val="22"/>
        </w:rPr>
        <w:t>(16)</w:t>
      </w:r>
      <w:r w:rsidR="00466F10" w:rsidRPr="008B59D5">
        <w:rPr>
          <w:rFonts w:cs="Times New Roman"/>
          <w:sz w:val="22"/>
          <w:szCs w:val="22"/>
        </w:rPr>
        <w:fldChar w:fldCharType="end"/>
      </w:r>
      <w:r w:rsidR="00C9053A" w:rsidRPr="008B59D5">
        <w:rPr>
          <w:rFonts w:cs="Times New Roman"/>
          <w:sz w:val="22"/>
          <w:szCs w:val="22"/>
        </w:rPr>
        <w:t xml:space="preserve">. An organizational and multidisciplinary approach is essential for making changes. In the Makkah region, an area with unique characteristics and diversity, there </w:t>
      </w:r>
      <w:r w:rsidR="001E1745" w:rsidRPr="008B59D5">
        <w:rPr>
          <w:rFonts w:cs="Times New Roman"/>
          <w:sz w:val="22"/>
          <w:szCs w:val="22"/>
        </w:rPr>
        <w:t>has been</w:t>
      </w:r>
      <w:r w:rsidR="00C9053A" w:rsidRPr="008B59D5">
        <w:rPr>
          <w:rFonts w:cs="Times New Roman"/>
          <w:sz w:val="22"/>
          <w:szCs w:val="22"/>
        </w:rPr>
        <w:t xml:space="preserve"> an </w:t>
      </w:r>
      <w:r w:rsidR="001E1745" w:rsidRPr="008B59D5">
        <w:rPr>
          <w:rFonts w:cs="Times New Roman"/>
          <w:sz w:val="22"/>
          <w:szCs w:val="22"/>
        </w:rPr>
        <w:t>urgent</w:t>
      </w:r>
      <w:r w:rsidR="00C9053A" w:rsidRPr="008B59D5">
        <w:rPr>
          <w:rFonts w:cs="Times New Roman"/>
          <w:sz w:val="22"/>
          <w:szCs w:val="22"/>
        </w:rPr>
        <w:t xml:space="preserve"> need to assess the status of patient safety culture in Makkah hospitals</w:t>
      </w:r>
      <w:r w:rsidR="00466F10" w:rsidRPr="008B59D5">
        <w:rPr>
          <w:rFonts w:cs="Times New Roman"/>
          <w:sz w:val="22"/>
          <w:szCs w:val="22"/>
        </w:rPr>
        <w:t xml:space="preserve"> </w:t>
      </w:r>
      <w:r w:rsidR="00466F10" w:rsidRPr="008B59D5">
        <w:rPr>
          <w:rFonts w:cs="Times New Roman"/>
          <w:sz w:val="22"/>
          <w:szCs w:val="22"/>
        </w:rPr>
        <w:fldChar w:fldCharType="begin"/>
      </w:r>
      <w:r w:rsidR="007F2092" w:rsidRPr="008B59D5">
        <w:rPr>
          <w:rFonts w:cs="Times New Roman"/>
          <w:sz w:val="22"/>
          <w:szCs w:val="22"/>
        </w:rPr>
        <w:instrText xml:space="preserve"> ADDIN EN.CITE &lt;EndNote&gt;&lt;Cite&gt;&lt;Author&gt;Arbaein&lt;/Author&gt;&lt;Year&gt;2024&lt;/Year&gt;&lt;RecNum&gt;4&lt;/RecNum&gt;&lt;DisplayText&gt;(17)&lt;/DisplayText&gt;&lt;record&gt;&lt;rec-number&gt;4&lt;/rec-number&gt;&lt;foreign-keys&gt;&lt;key app="EN" db-id="2wxa0w5pkfpazbewdpxpa9rfsws0f05prefd" timestamp="1723108602"&gt;4&lt;/key&gt;&lt;/foreign-keys&gt;&lt;ref-type name="Journal Article"&gt;17&lt;/ref-type&gt;&lt;contributors&gt;&lt;authors&gt;&lt;author&gt;Arbaein, Turky J&lt;/author&gt;&lt;author&gt;Alharbi, Khulud K&lt;/author&gt;&lt;author&gt;Alfahmi, Afrah A&lt;/author&gt;&lt;author&gt;Alharthi, Khawlah O&lt;/author&gt;&lt;author&gt;Monshi, Sarah S&lt;/author&gt;&lt;author&gt;Alzahrani, Ali M&lt;/author&gt;&lt;author&gt;Alkabi, Sanaa&lt;/author&gt;&lt;/authors&gt;&lt;/contributors&gt;&lt;titles&gt;&lt;title&gt;Makkah healthcare cluster response, challenges, and interventions during COVID-19 pandemic: A qualitative study&lt;/title&gt;&lt;secondary-title&gt;Journal of Infection and Public Health&lt;/secondary-title&gt;&lt;/titles&gt;&lt;periodical&gt;&lt;full-title&gt;Journal of Infection and Public Health&lt;/full-title&gt;&lt;/periodical&gt;&lt;pages&gt;975-985&lt;/pages&gt;&lt;volume&gt;17&lt;/volume&gt;&lt;number&gt;6&lt;/number&gt;&lt;dates&gt;&lt;year&gt;2024&lt;/year&gt;&lt;/dates&gt;&lt;isbn&gt;1876-0341&lt;/isbn&gt;&lt;urls&gt;&lt;/urls&gt;&lt;/record&gt;&lt;/Cite&gt;&lt;/EndNote&gt;</w:instrText>
      </w:r>
      <w:r w:rsidR="00466F10" w:rsidRPr="008B59D5">
        <w:rPr>
          <w:rFonts w:cs="Times New Roman"/>
          <w:sz w:val="22"/>
          <w:szCs w:val="22"/>
        </w:rPr>
        <w:fldChar w:fldCharType="separate"/>
      </w:r>
      <w:r w:rsidR="007F2092" w:rsidRPr="008B59D5">
        <w:rPr>
          <w:rFonts w:cs="Times New Roman"/>
          <w:noProof/>
          <w:sz w:val="22"/>
          <w:szCs w:val="22"/>
        </w:rPr>
        <w:t>(17)</w:t>
      </w:r>
      <w:r w:rsidR="00466F10" w:rsidRPr="008B59D5">
        <w:rPr>
          <w:rFonts w:cs="Times New Roman"/>
          <w:sz w:val="22"/>
          <w:szCs w:val="22"/>
        </w:rPr>
        <w:fldChar w:fldCharType="end"/>
      </w:r>
      <w:r w:rsidR="00C9053A" w:rsidRPr="008B59D5">
        <w:rPr>
          <w:rFonts w:cs="Times New Roman"/>
          <w:sz w:val="22"/>
          <w:szCs w:val="22"/>
        </w:rPr>
        <w:t>. Reporting is a crucial aspect of patient care</w:t>
      </w:r>
      <w:r w:rsidR="007D5779" w:rsidRPr="008B59D5">
        <w:rPr>
          <w:rFonts w:cs="Times New Roman"/>
          <w:sz w:val="22"/>
          <w:szCs w:val="22"/>
        </w:rPr>
        <w:t>;</w:t>
      </w:r>
      <w:r w:rsidR="00C9053A" w:rsidRPr="008B59D5">
        <w:rPr>
          <w:rFonts w:cs="Times New Roman"/>
          <w:sz w:val="22"/>
          <w:szCs w:val="22"/>
        </w:rPr>
        <w:t xml:space="preserve"> </w:t>
      </w:r>
      <w:r w:rsidR="007D5779" w:rsidRPr="008B59D5">
        <w:rPr>
          <w:rFonts w:cs="Times New Roman"/>
          <w:sz w:val="22"/>
          <w:szCs w:val="22"/>
        </w:rPr>
        <w:t>however,</w:t>
      </w:r>
      <w:r w:rsidR="00C9053A" w:rsidRPr="008B59D5">
        <w:rPr>
          <w:rFonts w:cs="Times New Roman"/>
          <w:sz w:val="22"/>
          <w:szCs w:val="22"/>
        </w:rPr>
        <w:t xml:space="preserve"> in Saudi Arabia, a patient safety culture is characterized by poor communication, inadequate personnel, </w:t>
      </w:r>
      <w:r w:rsidR="007D5779" w:rsidRPr="008B59D5">
        <w:rPr>
          <w:rFonts w:cs="Times New Roman"/>
          <w:sz w:val="22"/>
          <w:szCs w:val="22"/>
        </w:rPr>
        <w:t xml:space="preserve">a </w:t>
      </w:r>
      <w:r w:rsidR="00C9053A" w:rsidRPr="008B59D5">
        <w:rPr>
          <w:rFonts w:cs="Times New Roman"/>
          <w:sz w:val="22"/>
          <w:szCs w:val="22"/>
        </w:rPr>
        <w:t>blame culture, and ineffective leadership</w:t>
      </w:r>
      <w:r w:rsidR="00E61799" w:rsidRPr="008B59D5">
        <w:rPr>
          <w:rFonts w:cs="Times New Roman"/>
          <w:sz w:val="22"/>
          <w:szCs w:val="22"/>
        </w:rPr>
        <w:t xml:space="preserve"> </w:t>
      </w:r>
      <w:r w:rsidR="00E61799" w:rsidRPr="008B59D5">
        <w:rPr>
          <w:rFonts w:cs="Times New Roman"/>
          <w:sz w:val="22"/>
          <w:szCs w:val="22"/>
        </w:rPr>
        <w:fldChar w:fldCharType="begin"/>
      </w:r>
      <w:r w:rsidR="007F2092" w:rsidRPr="008B59D5">
        <w:rPr>
          <w:rFonts w:cs="Times New Roman"/>
          <w:sz w:val="22"/>
          <w:szCs w:val="22"/>
        </w:rPr>
        <w:instrText xml:space="preserve"> ADDIN EN.CITE &lt;EndNote&gt;&lt;Cite&gt;&lt;Author&gt;Arbaein&lt;/Author&gt;&lt;Year&gt;2024&lt;/Year&gt;&lt;RecNum&gt;4&lt;/RecNum&gt;&lt;DisplayText&gt;(17)&lt;/DisplayText&gt;&lt;record&gt;&lt;rec-number&gt;4&lt;/rec-number&gt;&lt;foreign-keys&gt;&lt;key app="EN" db-id="2wxa0w5pkfpazbewdpxpa9rfsws0f05prefd" timestamp="1723108602"&gt;4&lt;/key&gt;&lt;/foreign-keys&gt;&lt;ref-type name="Journal Article"&gt;17&lt;/ref-type&gt;&lt;contributors&gt;&lt;authors&gt;&lt;author&gt;Arbaein, Turky J&lt;/author&gt;&lt;author&gt;Alharbi, Khulud K&lt;/author&gt;&lt;author&gt;Alfahmi, Afrah A&lt;/author&gt;&lt;author&gt;Alharthi, Khawlah O&lt;/author&gt;&lt;author&gt;Monshi, Sarah S&lt;/author&gt;&lt;author&gt;Alzahrani, Ali M&lt;/author&gt;&lt;author&gt;Alkabi, Sanaa&lt;/author&gt;&lt;/authors&gt;&lt;/contributors&gt;&lt;titles&gt;&lt;title&gt;Makkah healthcare cluster response, challenges, and interventions during COVID-19 pandemic: A qualitative study&lt;/title&gt;&lt;secondary-title&gt;Journal of Infection and Public Health&lt;/secondary-title&gt;&lt;/titles&gt;&lt;periodical&gt;&lt;full-title&gt;Journal of Infection and Public Health&lt;/full-title&gt;&lt;/periodical&gt;&lt;pages&gt;975-985&lt;/pages&gt;&lt;volume&gt;17&lt;/volume&gt;&lt;number&gt;6&lt;/number&gt;&lt;dates&gt;&lt;year&gt;2024&lt;/year&gt;&lt;/dates&gt;&lt;isbn&gt;1876-0341&lt;/isbn&gt;&lt;urls&gt;&lt;/urls&gt;&lt;/record&gt;&lt;/Cite&gt;&lt;/EndNote&gt;</w:instrText>
      </w:r>
      <w:r w:rsidR="00E61799" w:rsidRPr="008B59D5">
        <w:rPr>
          <w:rFonts w:cs="Times New Roman"/>
          <w:sz w:val="22"/>
          <w:szCs w:val="22"/>
        </w:rPr>
        <w:fldChar w:fldCharType="separate"/>
      </w:r>
      <w:r w:rsidR="007F2092" w:rsidRPr="008B59D5">
        <w:rPr>
          <w:rFonts w:cs="Times New Roman"/>
          <w:noProof/>
          <w:sz w:val="22"/>
          <w:szCs w:val="22"/>
        </w:rPr>
        <w:t>(17)</w:t>
      </w:r>
      <w:r w:rsidR="00E61799" w:rsidRPr="008B59D5">
        <w:rPr>
          <w:rFonts w:cs="Times New Roman"/>
          <w:sz w:val="22"/>
          <w:szCs w:val="22"/>
        </w:rPr>
        <w:fldChar w:fldCharType="end"/>
      </w:r>
      <w:r w:rsidR="00C9053A" w:rsidRPr="008B59D5">
        <w:rPr>
          <w:rFonts w:cs="Times New Roman"/>
          <w:sz w:val="22"/>
          <w:szCs w:val="22"/>
        </w:rPr>
        <w:t>. A strong organizational attitude, interunit cooperation, and managerial support are essential for promoting safety improvements and building patient confidence in treatment</w:t>
      </w:r>
      <w:r w:rsidR="000B3DB4" w:rsidRPr="008B59D5">
        <w:rPr>
          <w:rFonts w:cs="Times New Roman"/>
          <w:sz w:val="22"/>
          <w:szCs w:val="22"/>
        </w:rPr>
        <w:t xml:space="preserve"> </w:t>
      </w:r>
      <w:r w:rsidR="000B3DB4" w:rsidRPr="008B59D5">
        <w:rPr>
          <w:rFonts w:cs="Times New Roman"/>
          <w:sz w:val="22"/>
          <w:szCs w:val="22"/>
        </w:rPr>
        <w:fldChar w:fldCharType="begin"/>
      </w:r>
      <w:r w:rsidR="007F2092" w:rsidRPr="008B59D5">
        <w:rPr>
          <w:rFonts w:cs="Times New Roman"/>
          <w:sz w:val="22"/>
          <w:szCs w:val="22"/>
        </w:rPr>
        <w:instrText xml:space="preserve"> ADDIN EN.CITE &lt;EndNote&gt;&lt;Cite&gt;&lt;Author&gt;Febriansyah&lt;/Author&gt;&lt;Year&gt;2020&lt;/Year&gt;&lt;RecNum&gt;5&lt;/RecNum&gt;&lt;DisplayText&gt;(18)&lt;/DisplayText&gt;&lt;record&gt;&lt;rec-number&gt;5&lt;/rec-number&gt;&lt;foreign-keys&gt;&lt;key app="EN" db-id="2wxa0w5pkfpazbewdpxpa9rfsws0f05prefd" timestamp="1723628522"&gt;5&lt;/key&gt;&lt;/foreign-keys&gt;&lt;ref-type name="Journal Article"&gt;17&lt;/ref-type&gt;&lt;contributors&gt;&lt;authors&gt;&lt;author&gt;Febriansyah, Febriansyah&lt;/author&gt;&lt;author&gt;Kusumapradja, Rokiah&lt;/author&gt;&lt;author&gt;Ahmad, Hasyim&lt;/author&gt;&lt;/authors&gt;&lt;/contributors&gt;&lt;titles&gt;&lt;title&gt;The Role Of Teamwork In Improving Patient Safety Culture&lt;/title&gt;&lt;secondary-title&gt;JMMR (Jurnal Medicoeticolegal Dan Manajemen Rumah Sakit)&lt;/secondary-title&gt;&lt;/titles&gt;&lt;periodical&gt;&lt;full-title&gt;JMMR (Jurnal Medicoeticolegal Dan Manajemen Rumah Sakit)&lt;/full-title&gt;&lt;/periodical&gt;&lt;pages&gt;41-52&lt;/pages&gt;&lt;volume&gt;9&lt;/volume&gt;&lt;number&gt;1&lt;/number&gt;&lt;dates&gt;&lt;year&gt;2020&lt;/year&gt;&lt;/dates&gt;&lt;isbn&gt;2541-6715&lt;/isbn&gt;&lt;urls&gt;&lt;/urls&gt;&lt;/record&gt;&lt;/Cite&gt;&lt;/EndNote&gt;</w:instrText>
      </w:r>
      <w:r w:rsidR="000B3DB4" w:rsidRPr="008B59D5">
        <w:rPr>
          <w:rFonts w:cs="Times New Roman"/>
          <w:sz w:val="22"/>
          <w:szCs w:val="22"/>
        </w:rPr>
        <w:fldChar w:fldCharType="separate"/>
      </w:r>
      <w:r w:rsidR="007F2092" w:rsidRPr="008B59D5">
        <w:rPr>
          <w:rFonts w:cs="Times New Roman"/>
          <w:noProof/>
          <w:sz w:val="22"/>
          <w:szCs w:val="22"/>
        </w:rPr>
        <w:t>(18)</w:t>
      </w:r>
      <w:r w:rsidR="000B3DB4" w:rsidRPr="008B59D5">
        <w:rPr>
          <w:rFonts w:cs="Times New Roman"/>
          <w:sz w:val="22"/>
          <w:szCs w:val="22"/>
        </w:rPr>
        <w:fldChar w:fldCharType="end"/>
      </w:r>
      <w:r w:rsidR="00C9053A" w:rsidRPr="008B59D5">
        <w:rPr>
          <w:rFonts w:cs="Times New Roman"/>
          <w:sz w:val="22"/>
          <w:szCs w:val="22"/>
        </w:rPr>
        <w:t>.</w:t>
      </w:r>
    </w:p>
    <w:p w14:paraId="5078238E" w14:textId="3895B120" w:rsidR="00C02D5F" w:rsidRPr="008B59D5" w:rsidRDefault="00C02D5F" w:rsidP="008B59D5">
      <w:pPr>
        <w:spacing w:line="240" w:lineRule="auto"/>
        <w:rPr>
          <w:rFonts w:cs="Times New Roman"/>
          <w:sz w:val="22"/>
          <w:szCs w:val="22"/>
        </w:rPr>
      </w:pPr>
      <w:r w:rsidRPr="008B59D5">
        <w:rPr>
          <w:rFonts w:cs="Times New Roman"/>
          <w:sz w:val="22"/>
          <w:szCs w:val="22"/>
        </w:rPr>
        <w:t xml:space="preserve">Despite the global recognition of </w:t>
      </w:r>
      <w:r w:rsidR="008B66C4" w:rsidRPr="008B59D5">
        <w:rPr>
          <w:rFonts w:cs="Times New Roman"/>
          <w:sz w:val="22"/>
          <w:szCs w:val="22"/>
        </w:rPr>
        <w:t>OVR's</w:t>
      </w:r>
      <w:r w:rsidRPr="008B59D5">
        <w:rPr>
          <w:rFonts w:cs="Times New Roman"/>
          <w:sz w:val="22"/>
          <w:szCs w:val="22"/>
        </w:rPr>
        <w:t xml:space="preserve"> importance in enhancing patient safety, there </w:t>
      </w:r>
      <w:r w:rsidR="00E61799" w:rsidRPr="008B59D5">
        <w:rPr>
          <w:rFonts w:cs="Times New Roman"/>
          <w:sz w:val="22"/>
          <w:szCs w:val="22"/>
        </w:rPr>
        <w:t>has been</w:t>
      </w:r>
      <w:r w:rsidRPr="008B59D5">
        <w:rPr>
          <w:rFonts w:cs="Times New Roman"/>
          <w:sz w:val="22"/>
          <w:szCs w:val="22"/>
        </w:rPr>
        <w:t xml:space="preserve"> a notable lack of research on OVR mechanisms and patient safety culture in Saudi Arab</w:t>
      </w:r>
      <w:r w:rsidR="00E61799" w:rsidRPr="008B59D5">
        <w:rPr>
          <w:rFonts w:cs="Times New Roman"/>
          <w:sz w:val="22"/>
          <w:szCs w:val="22"/>
        </w:rPr>
        <w:t xml:space="preserve">ia, particularly in Makkah City. </w:t>
      </w:r>
      <w:r w:rsidRPr="008B59D5">
        <w:rPr>
          <w:rFonts w:cs="Times New Roman"/>
          <w:sz w:val="22"/>
          <w:szCs w:val="22"/>
        </w:rPr>
        <w:t xml:space="preserve">The </w:t>
      </w:r>
      <w:r w:rsidR="001A103B" w:rsidRPr="008B59D5">
        <w:rPr>
          <w:rFonts w:cs="Times New Roman"/>
          <w:sz w:val="22"/>
          <w:szCs w:val="22"/>
        </w:rPr>
        <w:t xml:space="preserve">limited number of studies </w:t>
      </w:r>
      <w:r w:rsidRPr="008B59D5">
        <w:rPr>
          <w:rFonts w:cs="Times New Roman"/>
          <w:sz w:val="22"/>
          <w:szCs w:val="22"/>
        </w:rPr>
        <w:t xml:space="preserve">addressing </w:t>
      </w:r>
      <w:r w:rsidR="008B66C4" w:rsidRPr="008B59D5">
        <w:rPr>
          <w:rFonts w:cs="Times New Roman"/>
          <w:sz w:val="22"/>
          <w:szCs w:val="22"/>
        </w:rPr>
        <w:t>OVR</w:t>
      </w:r>
      <w:r w:rsidRPr="008B59D5">
        <w:rPr>
          <w:rFonts w:cs="Times New Roman"/>
          <w:sz w:val="22"/>
          <w:szCs w:val="22"/>
        </w:rPr>
        <w:t xml:space="preserve"> awareness among healthcare professionals in this region underscores a critical gap in understanding and potentially improving patient safety practices. </w:t>
      </w:r>
      <w:r w:rsidR="001A103B" w:rsidRPr="008B59D5">
        <w:rPr>
          <w:rFonts w:cs="Times New Roman"/>
          <w:sz w:val="22"/>
          <w:szCs w:val="22"/>
        </w:rPr>
        <w:t>Therefore, this study aimed</w:t>
      </w:r>
      <w:r w:rsidRPr="008B59D5">
        <w:rPr>
          <w:rFonts w:cs="Times New Roman"/>
          <w:sz w:val="22"/>
          <w:szCs w:val="22"/>
        </w:rPr>
        <w:t xml:space="preserve"> to assess the awareness levels of OVR among hospitals in Makkah City, thereby providing insights into current practices and identifying areas for improvement to ensure better patient safety outcomes.</w:t>
      </w:r>
    </w:p>
    <w:p w14:paraId="2BF8DA00" w14:textId="77777777" w:rsidR="00A001E7" w:rsidRPr="008B59D5" w:rsidRDefault="00FB2322" w:rsidP="009D535B">
      <w:pPr>
        <w:pStyle w:val="Heading1"/>
        <w:spacing w:before="0" w:beforeAutospacing="0" w:after="0" w:afterAutospacing="0" w:line="240" w:lineRule="auto"/>
        <w:rPr>
          <w:rFonts w:cs="Times New Roman"/>
          <w:color w:val="auto"/>
          <w:sz w:val="22"/>
          <w:szCs w:val="22"/>
        </w:rPr>
      </w:pPr>
      <w:r w:rsidRPr="008B59D5">
        <w:rPr>
          <w:rFonts w:cs="Times New Roman"/>
          <w:color w:val="auto"/>
          <w:sz w:val="22"/>
          <w:szCs w:val="22"/>
        </w:rPr>
        <w:t>Materials and Methods</w:t>
      </w:r>
    </w:p>
    <w:p w14:paraId="082C0577" w14:textId="08A14DE2" w:rsidR="00651DF1" w:rsidRPr="008B59D5" w:rsidRDefault="00662EC3" w:rsidP="009D535B">
      <w:pPr>
        <w:spacing w:before="0" w:beforeAutospacing="0" w:after="0" w:afterAutospacing="0" w:line="240" w:lineRule="auto"/>
        <w:rPr>
          <w:rFonts w:cs="Times New Roman"/>
          <w:sz w:val="22"/>
          <w:szCs w:val="22"/>
        </w:rPr>
      </w:pPr>
      <w:r w:rsidRPr="008B59D5">
        <w:rPr>
          <w:rFonts w:cs="Times New Roman"/>
          <w:sz w:val="22"/>
          <w:szCs w:val="22"/>
        </w:rPr>
        <w:t>A retrospective study</w:t>
      </w:r>
      <w:r w:rsidR="004C5C38" w:rsidRPr="008B59D5">
        <w:rPr>
          <w:rFonts w:cs="Times New Roman"/>
          <w:sz w:val="22"/>
          <w:szCs w:val="22"/>
        </w:rPr>
        <w:t xml:space="preserve"> was conducted from January </w:t>
      </w:r>
      <w:r w:rsidR="007D5779" w:rsidRPr="008B59D5">
        <w:rPr>
          <w:rFonts w:cs="Times New Roman"/>
          <w:sz w:val="22"/>
          <w:szCs w:val="22"/>
        </w:rPr>
        <w:t>2021 to December 2023 using the data from Makkah Health Clusters (MHC), which managed 10 governmental hospitals (Appendix A).</w:t>
      </w:r>
      <w:r w:rsidR="006A1749" w:rsidRPr="008B59D5">
        <w:rPr>
          <w:rFonts w:cs="Times New Roman"/>
          <w:sz w:val="22"/>
          <w:szCs w:val="22"/>
        </w:rPr>
        <w:t xml:space="preserve"> The proposal for this study was approved by </w:t>
      </w:r>
      <w:r w:rsidR="00E325B8" w:rsidRPr="008B59D5">
        <w:rPr>
          <w:rFonts w:cs="Times New Roman"/>
          <w:sz w:val="22"/>
          <w:szCs w:val="22"/>
        </w:rPr>
        <w:t>the Research Ethics Committee at Makkah Health Affairs in Makkah City</w:t>
      </w:r>
      <w:r w:rsidR="006A1749" w:rsidRPr="008B59D5">
        <w:rPr>
          <w:rFonts w:cs="Times New Roman"/>
          <w:sz w:val="22"/>
          <w:szCs w:val="22"/>
        </w:rPr>
        <w:t xml:space="preserve">. The data pool was collected directly from MHC’s </w:t>
      </w:r>
      <w:r w:rsidR="00791A0B" w:rsidRPr="008B59D5">
        <w:rPr>
          <w:rFonts w:cs="Times New Roman"/>
          <w:sz w:val="22"/>
          <w:szCs w:val="22"/>
        </w:rPr>
        <w:t>Institutional Excellence and Quality Administration</w:t>
      </w:r>
      <w:r w:rsidR="006A1749" w:rsidRPr="008B59D5">
        <w:rPr>
          <w:rFonts w:cs="Times New Roman"/>
          <w:sz w:val="22"/>
          <w:szCs w:val="22"/>
        </w:rPr>
        <w:t xml:space="preserve"> using a checklist of monthly OVRs </w:t>
      </w:r>
      <w:r w:rsidR="008B66C4" w:rsidRPr="008B59D5">
        <w:rPr>
          <w:rFonts w:cs="Times New Roman"/>
          <w:sz w:val="22"/>
          <w:szCs w:val="22"/>
        </w:rPr>
        <w:t>from</w:t>
      </w:r>
      <w:r w:rsidR="006A1749" w:rsidRPr="008B59D5">
        <w:rPr>
          <w:rFonts w:cs="Times New Roman"/>
          <w:sz w:val="22"/>
          <w:szCs w:val="22"/>
        </w:rPr>
        <w:t xml:space="preserve"> October 2021 </w:t>
      </w:r>
      <w:r w:rsidR="008B66C4" w:rsidRPr="008B59D5">
        <w:rPr>
          <w:rFonts w:cs="Times New Roman"/>
          <w:sz w:val="22"/>
          <w:szCs w:val="22"/>
        </w:rPr>
        <w:t>to</w:t>
      </w:r>
      <w:r w:rsidR="006A1749" w:rsidRPr="008B59D5">
        <w:rPr>
          <w:rFonts w:cs="Times New Roman"/>
          <w:sz w:val="22"/>
          <w:szCs w:val="22"/>
        </w:rPr>
        <w:t xml:space="preserve"> December 2023</w:t>
      </w:r>
      <w:r w:rsidR="00651DF1" w:rsidRPr="008B59D5">
        <w:rPr>
          <w:rFonts w:cs="Times New Roman"/>
          <w:sz w:val="22"/>
          <w:szCs w:val="22"/>
        </w:rPr>
        <w:t>.</w:t>
      </w:r>
    </w:p>
    <w:p w14:paraId="04CFFC8F" w14:textId="5934910A" w:rsidR="006A1749" w:rsidRPr="008B59D5" w:rsidRDefault="00651DF1" w:rsidP="008B59D5">
      <w:pPr>
        <w:spacing w:line="240" w:lineRule="auto"/>
        <w:rPr>
          <w:rFonts w:cs="Times New Roman"/>
          <w:sz w:val="22"/>
          <w:szCs w:val="22"/>
        </w:rPr>
      </w:pPr>
      <w:r w:rsidRPr="008B59D5">
        <w:rPr>
          <w:rFonts w:cs="Times New Roman"/>
          <w:sz w:val="22"/>
          <w:szCs w:val="22"/>
        </w:rPr>
        <w:t xml:space="preserve">In this study, various approved OVR categories were utilized to assess operational efficacy and identify areas for improvement. Categories include Nursing Care Management, which addresses issues related to patient admission, transfer, and discharge; Housekeeping, focusing on facility cleanliness; Security-Related Issues, which cover incidents like assaults or missing property; and Laundry Services, emphasizing supply and service response. Additionally, categories like Medication, Infection Control-Related Issues, and IT-Related Issues were examined to ensure proper medication handling, infection control practices, and IT service management. Other areas include Facility Maintenance, Staff-Related Issues, and Communication Issues, which collectively aim to </w:t>
      </w:r>
      <w:r w:rsidR="007D5779" w:rsidRPr="008B59D5">
        <w:rPr>
          <w:rFonts w:cs="Times New Roman"/>
          <w:sz w:val="22"/>
          <w:szCs w:val="22"/>
        </w:rPr>
        <w:t>enhanc</w:t>
      </w:r>
      <w:r w:rsidRPr="008B59D5">
        <w:rPr>
          <w:rFonts w:cs="Times New Roman"/>
          <w:sz w:val="22"/>
          <w:szCs w:val="22"/>
        </w:rPr>
        <w:t>e patient safety and operational efficiency (see A</w:t>
      </w:r>
      <w:r w:rsidR="007D5779" w:rsidRPr="008B59D5">
        <w:rPr>
          <w:rFonts w:cs="Times New Roman"/>
          <w:sz w:val="22"/>
          <w:szCs w:val="22"/>
        </w:rPr>
        <w:t xml:space="preserve">ppendix </w:t>
      </w:r>
      <w:r w:rsidRPr="008B59D5">
        <w:rPr>
          <w:rFonts w:cs="Times New Roman"/>
          <w:sz w:val="22"/>
          <w:szCs w:val="22"/>
        </w:rPr>
        <w:t>B).</w:t>
      </w:r>
    </w:p>
    <w:p w14:paraId="3A18A329" w14:textId="3A765289" w:rsidR="00041BA6" w:rsidRPr="008B59D5" w:rsidRDefault="006A1749" w:rsidP="008B59D5">
      <w:pPr>
        <w:spacing w:line="240" w:lineRule="auto"/>
        <w:rPr>
          <w:rFonts w:cs="Times New Roman"/>
          <w:sz w:val="22"/>
          <w:szCs w:val="22"/>
        </w:rPr>
      </w:pPr>
      <w:r w:rsidRPr="008B59D5">
        <w:rPr>
          <w:rFonts w:cs="Times New Roman"/>
          <w:sz w:val="22"/>
          <w:szCs w:val="22"/>
        </w:rPr>
        <w:t xml:space="preserve">The inclusion criteria focused on completed data </w:t>
      </w:r>
      <w:r w:rsidR="00785F36" w:rsidRPr="008B59D5">
        <w:rPr>
          <w:rFonts w:cs="Times New Roman"/>
          <w:sz w:val="22"/>
          <w:szCs w:val="22"/>
        </w:rPr>
        <w:t xml:space="preserve">from </w:t>
      </w:r>
      <w:r w:rsidRPr="008B59D5">
        <w:rPr>
          <w:rFonts w:cs="Times New Roman"/>
          <w:sz w:val="22"/>
          <w:szCs w:val="22"/>
        </w:rPr>
        <w:t>2021</w:t>
      </w:r>
      <w:r w:rsidR="007D5779" w:rsidRPr="008B59D5">
        <w:rPr>
          <w:rFonts w:cs="Times New Roman"/>
          <w:sz w:val="22"/>
          <w:szCs w:val="22"/>
        </w:rPr>
        <w:t xml:space="preserve"> to </w:t>
      </w:r>
      <w:r w:rsidRPr="008B59D5">
        <w:rPr>
          <w:rFonts w:cs="Times New Roman"/>
          <w:sz w:val="22"/>
          <w:szCs w:val="22"/>
        </w:rPr>
        <w:t xml:space="preserve">2023 </w:t>
      </w:r>
      <w:r w:rsidR="00785F36" w:rsidRPr="008B59D5">
        <w:rPr>
          <w:rFonts w:cs="Times New Roman"/>
          <w:sz w:val="22"/>
          <w:szCs w:val="22"/>
        </w:rPr>
        <w:t xml:space="preserve">from the 10 MHC hospitals. Private and military hospitals, which </w:t>
      </w:r>
      <w:r w:rsidR="00041BA6" w:rsidRPr="008B59D5">
        <w:rPr>
          <w:rFonts w:cs="Times New Roman"/>
          <w:sz w:val="22"/>
          <w:szCs w:val="22"/>
        </w:rPr>
        <w:t>did not</w:t>
      </w:r>
      <w:r w:rsidR="00785F36" w:rsidRPr="008B59D5">
        <w:rPr>
          <w:rFonts w:cs="Times New Roman"/>
          <w:sz w:val="22"/>
          <w:szCs w:val="22"/>
        </w:rPr>
        <w:t xml:space="preserve"> fall under the category of MHC hospitals, </w:t>
      </w:r>
      <w:r w:rsidR="00041BA6" w:rsidRPr="008B59D5">
        <w:rPr>
          <w:rFonts w:cs="Times New Roman"/>
          <w:sz w:val="22"/>
          <w:szCs w:val="22"/>
        </w:rPr>
        <w:t>were excluded</w:t>
      </w:r>
      <w:r w:rsidRPr="008B59D5">
        <w:rPr>
          <w:rFonts w:cs="Times New Roman"/>
          <w:sz w:val="22"/>
          <w:szCs w:val="22"/>
        </w:rPr>
        <w:t xml:space="preserve"> from this study.</w:t>
      </w:r>
      <w:r w:rsidR="00041BA6" w:rsidRPr="008B59D5">
        <w:rPr>
          <w:rFonts w:cs="Times New Roman"/>
          <w:sz w:val="22"/>
          <w:szCs w:val="22"/>
        </w:rPr>
        <w:t xml:space="preserve"> The data were analyzed using a unified OVR Excel sheet that included the total number of reports per quarter, categorized by OVR categories and levels of harm. The classification of harm levels was based on the Saudi Patient Safety Taxonomy, published in 2018 by the Saudi Patient Safety Center in collaboration with the Saudi Ministry of Health. Additionally, data on lessons learned and improvement projects developed in response to OVR findings were also collected. </w:t>
      </w:r>
    </w:p>
    <w:p w14:paraId="5E3831FC" w14:textId="77777777" w:rsidR="00892409" w:rsidRPr="008B59D5" w:rsidRDefault="00892409" w:rsidP="009D535B">
      <w:pPr>
        <w:pStyle w:val="Heading1"/>
        <w:spacing w:before="0" w:beforeAutospacing="0" w:after="0" w:afterAutospacing="0" w:line="240" w:lineRule="auto"/>
        <w:rPr>
          <w:rFonts w:cs="Times New Roman"/>
          <w:color w:val="auto"/>
          <w:sz w:val="22"/>
          <w:szCs w:val="22"/>
        </w:rPr>
      </w:pPr>
      <w:r w:rsidRPr="008B59D5">
        <w:rPr>
          <w:rFonts w:cs="Times New Roman"/>
          <w:color w:val="auto"/>
          <w:sz w:val="22"/>
          <w:szCs w:val="22"/>
        </w:rPr>
        <w:t>Statistical Analysis</w:t>
      </w:r>
    </w:p>
    <w:p w14:paraId="2CE28570" w14:textId="11B1400B" w:rsidR="00A001E7" w:rsidRDefault="003F287E" w:rsidP="009D535B">
      <w:pPr>
        <w:spacing w:before="0" w:beforeAutospacing="0" w:after="0" w:afterAutospacing="0" w:line="240" w:lineRule="auto"/>
        <w:rPr>
          <w:rFonts w:cs="Times New Roman"/>
          <w:sz w:val="22"/>
          <w:szCs w:val="22"/>
        </w:rPr>
      </w:pPr>
      <w:r w:rsidRPr="008B59D5">
        <w:rPr>
          <w:rFonts w:cs="Times New Roman"/>
          <w:sz w:val="22"/>
          <w:szCs w:val="22"/>
        </w:rPr>
        <w:t>The data were systematically analyzed using Microsoft Excel, employing its advanced tools to ensure accurate calculations and clear visualizations</w:t>
      </w:r>
      <w:r w:rsidRPr="008B59D5">
        <w:rPr>
          <w:rFonts w:cs="Times New Roman"/>
          <w:b/>
          <w:sz w:val="22"/>
          <w:szCs w:val="22"/>
        </w:rPr>
        <w:t xml:space="preserve">. </w:t>
      </w:r>
      <w:r w:rsidR="00A001E7" w:rsidRPr="008B59D5">
        <w:rPr>
          <w:rFonts w:cs="Times New Roman"/>
          <w:sz w:val="22"/>
          <w:szCs w:val="22"/>
        </w:rPr>
        <w:t>Descriptive statistics were used to summarize the frequency and distribution of OVRs across different categories and time periods. Charts and pivot tables were employed to visualize trends, while categorical data were compared across years to identify patterns in patient safety incidents and the effectiveness of improvement projects.</w:t>
      </w:r>
    </w:p>
    <w:p w14:paraId="34D6B80E" w14:textId="77777777" w:rsidR="009D535B" w:rsidRPr="008B59D5" w:rsidRDefault="009D535B" w:rsidP="009D535B">
      <w:pPr>
        <w:spacing w:before="0" w:beforeAutospacing="0" w:after="0" w:afterAutospacing="0" w:line="240" w:lineRule="auto"/>
        <w:rPr>
          <w:rFonts w:cs="Times New Roman"/>
          <w:b/>
          <w:sz w:val="22"/>
          <w:szCs w:val="22"/>
        </w:rPr>
      </w:pPr>
    </w:p>
    <w:p w14:paraId="0925DAF4" w14:textId="77777777" w:rsidR="003A0445" w:rsidRPr="008B59D5" w:rsidRDefault="00090C26" w:rsidP="009D535B">
      <w:pPr>
        <w:pStyle w:val="Heading1"/>
        <w:spacing w:before="0" w:beforeAutospacing="0" w:after="0" w:afterAutospacing="0" w:line="240" w:lineRule="auto"/>
        <w:rPr>
          <w:rFonts w:cs="Times New Roman"/>
          <w:color w:val="auto"/>
          <w:sz w:val="22"/>
          <w:szCs w:val="22"/>
        </w:rPr>
      </w:pPr>
      <w:bookmarkStart w:id="0" w:name="OLE_LINK1"/>
      <w:r w:rsidRPr="008B59D5">
        <w:rPr>
          <w:rFonts w:cs="Times New Roman"/>
          <w:color w:val="auto"/>
          <w:sz w:val="22"/>
          <w:szCs w:val="22"/>
        </w:rPr>
        <w:t>Results</w:t>
      </w:r>
    </w:p>
    <w:p w14:paraId="5CED5ED6" w14:textId="1EB45FA0" w:rsidR="00F47FDA" w:rsidRDefault="009D1859" w:rsidP="009D535B">
      <w:pPr>
        <w:spacing w:before="0" w:beforeAutospacing="0" w:after="0" w:afterAutospacing="0" w:line="240" w:lineRule="auto"/>
        <w:rPr>
          <w:rFonts w:cs="Times New Roman"/>
          <w:sz w:val="22"/>
          <w:szCs w:val="22"/>
        </w:rPr>
      </w:pPr>
      <w:r w:rsidRPr="008B59D5">
        <w:rPr>
          <w:rFonts w:cs="Times New Roman"/>
          <w:sz w:val="22"/>
          <w:szCs w:val="22"/>
        </w:rPr>
        <w:t xml:space="preserve">The findings of this study </w:t>
      </w:r>
      <w:r w:rsidR="007D5779" w:rsidRPr="008B59D5">
        <w:rPr>
          <w:rFonts w:cs="Times New Roman"/>
          <w:sz w:val="22"/>
          <w:szCs w:val="22"/>
        </w:rPr>
        <w:t>provided a comprehensive view of the OVR tendencies over three consecutive years, with distinctions in incident reporting on a</w:t>
      </w:r>
      <w:r w:rsidRPr="008B59D5">
        <w:rPr>
          <w:rFonts w:cs="Times New Roman"/>
          <w:sz w:val="22"/>
          <w:szCs w:val="22"/>
        </w:rPr>
        <w:t xml:space="preserve"> quarterly basis. </w:t>
      </w:r>
      <w:r w:rsidR="002F3173" w:rsidRPr="008B59D5">
        <w:rPr>
          <w:rFonts w:cs="Times New Roman"/>
          <w:sz w:val="22"/>
          <w:szCs w:val="22"/>
        </w:rPr>
        <w:t xml:space="preserve">The Bar Chart in Figure 1 provides valuable insights into OVRs reporting per quarter at 10 hospitals in Makkah City over </w:t>
      </w:r>
      <w:r w:rsidR="007D5779" w:rsidRPr="008B59D5">
        <w:rPr>
          <w:rFonts w:cs="Times New Roman"/>
          <w:sz w:val="22"/>
          <w:szCs w:val="22"/>
        </w:rPr>
        <w:t>3</w:t>
      </w:r>
      <w:r w:rsidR="002F3173" w:rsidRPr="008B59D5">
        <w:rPr>
          <w:rFonts w:cs="Times New Roman"/>
          <w:sz w:val="22"/>
          <w:szCs w:val="22"/>
        </w:rPr>
        <w:t xml:space="preserve"> </w:t>
      </w:r>
      <w:r w:rsidR="007D5779" w:rsidRPr="008B59D5">
        <w:rPr>
          <w:rFonts w:cs="Times New Roman"/>
          <w:sz w:val="22"/>
          <w:szCs w:val="22"/>
        </w:rPr>
        <w:t>years</w:t>
      </w:r>
      <w:r w:rsidR="002F3173" w:rsidRPr="008B59D5">
        <w:rPr>
          <w:rFonts w:cs="Times New Roman"/>
          <w:sz w:val="22"/>
          <w:szCs w:val="22"/>
        </w:rPr>
        <w:t xml:space="preserve"> from 2021 to 2023. </w:t>
      </w:r>
      <w:r w:rsidRPr="008B59D5">
        <w:rPr>
          <w:rFonts w:cs="Times New Roman"/>
          <w:sz w:val="22"/>
          <w:szCs w:val="22"/>
        </w:rPr>
        <w:t>The total number of OVRs has shown a consistent decline each year, dropping from 33,170 in 2021 to 22,201 in 2023. This</w:t>
      </w:r>
      <w:r w:rsidR="00C70478" w:rsidRPr="008B59D5">
        <w:rPr>
          <w:rFonts w:cs="Times New Roman"/>
          <w:sz w:val="22"/>
          <w:szCs w:val="22"/>
        </w:rPr>
        <w:t xml:space="preserve"> downward trend </w:t>
      </w:r>
      <w:r w:rsidR="007D5779" w:rsidRPr="008B59D5">
        <w:rPr>
          <w:rFonts w:cs="Times New Roman"/>
          <w:sz w:val="22"/>
          <w:szCs w:val="22"/>
        </w:rPr>
        <w:t>wa</w:t>
      </w:r>
      <w:r w:rsidR="00C70478" w:rsidRPr="008B59D5">
        <w:rPr>
          <w:rFonts w:cs="Times New Roman"/>
          <w:sz w:val="22"/>
          <w:szCs w:val="22"/>
        </w:rPr>
        <w:t>s most pronoun</w:t>
      </w:r>
      <w:r w:rsidR="007D5779" w:rsidRPr="008B59D5">
        <w:rPr>
          <w:rFonts w:cs="Times New Roman"/>
          <w:sz w:val="22"/>
          <w:szCs w:val="22"/>
        </w:rPr>
        <w:t>c</w:t>
      </w:r>
      <w:r w:rsidR="00C70478" w:rsidRPr="008B59D5">
        <w:rPr>
          <w:rFonts w:cs="Times New Roman"/>
          <w:sz w:val="22"/>
          <w:szCs w:val="22"/>
        </w:rPr>
        <w:t>ed</w:t>
      </w:r>
      <w:r w:rsidRPr="008B59D5">
        <w:rPr>
          <w:rFonts w:cs="Times New Roman"/>
          <w:sz w:val="22"/>
          <w:szCs w:val="22"/>
        </w:rPr>
        <w:t xml:space="preserve"> in the first two quarters of each year, while the fourth </w:t>
      </w:r>
      <w:r w:rsidR="00C70478" w:rsidRPr="008B59D5">
        <w:rPr>
          <w:rFonts w:cs="Times New Roman"/>
          <w:sz w:val="22"/>
          <w:szCs w:val="22"/>
        </w:rPr>
        <w:t>quarter consistently experienced</w:t>
      </w:r>
      <w:r w:rsidRPr="008B59D5">
        <w:rPr>
          <w:rFonts w:cs="Times New Roman"/>
          <w:sz w:val="22"/>
          <w:szCs w:val="22"/>
        </w:rPr>
        <w:t xml:space="preserve"> the peak in OVR volume</w:t>
      </w:r>
      <w:r w:rsidR="007D5779" w:rsidRPr="008B59D5">
        <w:rPr>
          <w:rFonts w:cs="Times New Roman"/>
          <w:sz w:val="22"/>
          <w:szCs w:val="22"/>
        </w:rPr>
        <w:t>,</w:t>
      </w:r>
      <w:r w:rsidR="00C70478" w:rsidRPr="008B59D5">
        <w:rPr>
          <w:rFonts w:cs="Times New Roman"/>
          <w:sz w:val="22"/>
          <w:szCs w:val="22"/>
        </w:rPr>
        <w:t xml:space="preserve"> </w:t>
      </w:r>
      <w:r w:rsidR="007D5779" w:rsidRPr="008B59D5">
        <w:rPr>
          <w:rFonts w:cs="Times New Roman"/>
          <w:sz w:val="22"/>
          <w:szCs w:val="22"/>
        </w:rPr>
        <w:t>reaching</w:t>
      </w:r>
      <w:r w:rsidR="00C70478" w:rsidRPr="008B59D5">
        <w:rPr>
          <w:rFonts w:cs="Times New Roman"/>
          <w:sz w:val="22"/>
          <w:szCs w:val="22"/>
        </w:rPr>
        <w:t xml:space="preserve"> 22</w:t>
      </w:r>
      <w:r w:rsidR="007D5779" w:rsidRPr="008B59D5">
        <w:rPr>
          <w:rFonts w:cs="Times New Roman"/>
          <w:sz w:val="22"/>
          <w:szCs w:val="22"/>
        </w:rPr>
        <w:t>,</w:t>
      </w:r>
      <w:r w:rsidR="00C70478" w:rsidRPr="008B59D5">
        <w:rPr>
          <w:rFonts w:cs="Times New Roman"/>
          <w:sz w:val="22"/>
          <w:szCs w:val="22"/>
        </w:rPr>
        <w:t>201</w:t>
      </w:r>
      <w:r w:rsidRPr="008B59D5">
        <w:rPr>
          <w:rFonts w:cs="Times New Roman"/>
          <w:sz w:val="22"/>
          <w:szCs w:val="22"/>
        </w:rPr>
        <w:t xml:space="preserve">. The steady decrease in OVRs </w:t>
      </w:r>
      <w:r w:rsidR="00C70478" w:rsidRPr="008B59D5">
        <w:rPr>
          <w:rFonts w:cs="Times New Roman"/>
          <w:sz w:val="22"/>
          <w:szCs w:val="22"/>
        </w:rPr>
        <w:t>suggested</w:t>
      </w:r>
      <w:r w:rsidRPr="008B59D5">
        <w:rPr>
          <w:rFonts w:cs="Times New Roman"/>
          <w:sz w:val="22"/>
          <w:szCs w:val="22"/>
        </w:rPr>
        <w:t xml:space="preserve"> potential changes in factors </w:t>
      </w:r>
      <w:r w:rsidR="00FC0553" w:rsidRPr="008B59D5">
        <w:rPr>
          <w:rFonts w:cs="Times New Roman"/>
          <w:sz w:val="22"/>
          <w:szCs w:val="22"/>
        </w:rPr>
        <w:t>of the</w:t>
      </w:r>
      <w:r w:rsidRPr="008B59D5">
        <w:rPr>
          <w:rFonts w:cs="Times New Roman"/>
          <w:sz w:val="22"/>
          <w:szCs w:val="22"/>
        </w:rPr>
        <w:t xml:space="preserve"> </w:t>
      </w:r>
      <w:r w:rsidR="00FC0553" w:rsidRPr="008B59D5">
        <w:rPr>
          <w:rFonts w:cs="Times New Roman"/>
          <w:sz w:val="22"/>
          <w:szCs w:val="22"/>
        </w:rPr>
        <w:t>internal and external healthcare organizations</w:t>
      </w:r>
      <w:r w:rsidR="00C70478" w:rsidRPr="008B59D5">
        <w:rPr>
          <w:rFonts w:cs="Times New Roman"/>
          <w:sz w:val="22"/>
          <w:szCs w:val="22"/>
        </w:rPr>
        <w:t>.</w:t>
      </w:r>
    </w:p>
    <w:p w14:paraId="0111D9A5" w14:textId="2DE76876" w:rsidR="00F47FDA" w:rsidRPr="00F47FDA" w:rsidRDefault="00F47FDA" w:rsidP="00F47FDA">
      <w:pPr>
        <w:pStyle w:val="Caption"/>
        <w:rPr>
          <w:rFonts w:cs="Times New Roman"/>
          <w:b/>
          <w:i w:val="0"/>
          <w:iCs w:val="0"/>
          <w:color w:val="auto"/>
          <w:sz w:val="22"/>
          <w:szCs w:val="22"/>
        </w:rPr>
      </w:pPr>
      <w:r w:rsidRPr="008B59D5">
        <w:rPr>
          <w:rFonts w:cs="Times New Roman"/>
          <w:b/>
          <w:i w:val="0"/>
          <w:iCs w:val="0"/>
          <w:color w:val="auto"/>
          <w:sz w:val="22"/>
          <w:szCs w:val="22"/>
        </w:rPr>
        <w:t xml:space="preserve">Figure </w:t>
      </w:r>
      <w:r w:rsidRPr="008B59D5">
        <w:rPr>
          <w:rFonts w:cs="Times New Roman"/>
          <w:b/>
          <w:i w:val="0"/>
          <w:iCs w:val="0"/>
          <w:color w:val="auto"/>
          <w:sz w:val="22"/>
          <w:szCs w:val="22"/>
        </w:rPr>
        <w:fldChar w:fldCharType="begin"/>
      </w:r>
      <w:r w:rsidRPr="008B59D5">
        <w:rPr>
          <w:rFonts w:cs="Times New Roman"/>
          <w:b/>
          <w:i w:val="0"/>
          <w:iCs w:val="0"/>
          <w:color w:val="auto"/>
          <w:sz w:val="22"/>
          <w:szCs w:val="22"/>
        </w:rPr>
        <w:instrText xml:space="preserve"> SEQ Figure \* ARABIC </w:instrText>
      </w:r>
      <w:r w:rsidRPr="008B59D5">
        <w:rPr>
          <w:rFonts w:cs="Times New Roman"/>
          <w:b/>
          <w:i w:val="0"/>
          <w:iCs w:val="0"/>
          <w:color w:val="auto"/>
          <w:sz w:val="22"/>
          <w:szCs w:val="22"/>
        </w:rPr>
        <w:fldChar w:fldCharType="separate"/>
      </w:r>
      <w:r w:rsidR="00781477">
        <w:rPr>
          <w:rFonts w:cs="Times New Roman"/>
          <w:b/>
          <w:i w:val="0"/>
          <w:iCs w:val="0"/>
          <w:noProof/>
          <w:color w:val="auto"/>
          <w:sz w:val="22"/>
          <w:szCs w:val="22"/>
        </w:rPr>
        <w:t>1</w:t>
      </w:r>
      <w:r w:rsidRPr="008B59D5">
        <w:rPr>
          <w:rFonts w:cs="Times New Roman"/>
          <w:b/>
          <w:i w:val="0"/>
          <w:iCs w:val="0"/>
          <w:color w:val="auto"/>
          <w:sz w:val="22"/>
          <w:szCs w:val="22"/>
        </w:rPr>
        <w:fldChar w:fldCharType="end"/>
      </w:r>
      <w:r w:rsidRPr="008B59D5">
        <w:rPr>
          <w:rFonts w:cs="Times New Roman"/>
          <w:b/>
          <w:i w:val="0"/>
          <w:iCs w:val="0"/>
          <w:color w:val="auto"/>
          <w:sz w:val="22"/>
          <w:szCs w:val="22"/>
        </w:rPr>
        <w:t>: Total Number of OVRs per quarter</w:t>
      </w:r>
    </w:p>
    <w:p w14:paraId="13ECC0BC" w14:textId="77777777" w:rsidR="00C70478" w:rsidRPr="008B59D5" w:rsidRDefault="00A001E7" w:rsidP="008B59D5">
      <w:pPr>
        <w:keepNext/>
        <w:spacing w:line="240" w:lineRule="auto"/>
        <w:rPr>
          <w:rFonts w:cs="Times New Roman"/>
          <w:sz w:val="22"/>
          <w:szCs w:val="22"/>
        </w:rPr>
      </w:pPr>
      <w:r w:rsidRPr="008B59D5">
        <w:rPr>
          <w:rFonts w:cs="Times New Roman"/>
          <w:noProof/>
          <w:sz w:val="22"/>
          <w:szCs w:val="22"/>
          <w:lang w:val="en-GB" w:eastAsia="en-GB"/>
          <w14:ligatures w14:val="none"/>
        </w:rPr>
        <w:drawing>
          <wp:inline distT="0" distB="0" distL="0" distR="0" wp14:anchorId="329063D8" wp14:editId="17336088">
            <wp:extent cx="4678680" cy="2385060"/>
            <wp:effectExtent l="0" t="0" r="7620" b="15240"/>
            <wp:docPr id="1" name="Chart 1">
              <a:extLst xmlns:a="http://schemas.openxmlformats.org/drawingml/2006/main">
                <a:ext uri="{FF2B5EF4-FFF2-40B4-BE49-F238E27FC236}">
                  <a16:creationId xmlns:a16="http://schemas.microsoft.com/office/drawing/2014/main" id="{24BC78EB-25D3-7544-0D2A-EFAD3472EA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977FE2" w14:textId="72FEA910" w:rsidR="00C70478" w:rsidRDefault="00C70478" w:rsidP="008B59D5">
      <w:pPr>
        <w:spacing w:line="240" w:lineRule="auto"/>
        <w:rPr>
          <w:rFonts w:cs="Times New Roman"/>
          <w:sz w:val="22"/>
          <w:szCs w:val="22"/>
        </w:rPr>
      </w:pPr>
      <w:r w:rsidRPr="008B59D5">
        <w:rPr>
          <w:rFonts w:cs="Times New Roman"/>
          <w:sz w:val="22"/>
          <w:szCs w:val="22"/>
        </w:rPr>
        <w:t xml:space="preserve">In 2021, the most frequent categories of OVR were medication-related issues (n = 15,665), patient care management (n = 4,564), identification or documentation problems (n = 1,826), staff-related issues (n = 1,495), and facility management issues (n = 1,436). In 2022, the predominant categories shifted significantly, with medication issues declining to 3,895, while patient care management (489) and identification or documentation issues (218) became more prominent. Staff-related issues also decreased to 343, and laboratory-related issues emerged with 202. By 2023, medication issues </w:t>
      </w:r>
      <w:r w:rsidR="007D5779" w:rsidRPr="008B59D5">
        <w:rPr>
          <w:rFonts w:cs="Times New Roman"/>
          <w:sz w:val="22"/>
          <w:szCs w:val="22"/>
        </w:rPr>
        <w:t>had surged again to 12,459, with patient care management rising to 1,562 and identification or documentation issues at 700.</w:t>
      </w:r>
      <w:r w:rsidRPr="008B59D5">
        <w:rPr>
          <w:rFonts w:cs="Times New Roman"/>
          <w:sz w:val="22"/>
          <w:szCs w:val="22"/>
        </w:rPr>
        <w:t xml:space="preserve"> Staff-related issues remained relatively stable at n = 1,421, while laboratory-related issues increased to n = 819. As shown in Figure 2. </w:t>
      </w:r>
    </w:p>
    <w:p w14:paraId="4F9F7904" w14:textId="414C34A6" w:rsidR="00F47FDA" w:rsidRPr="00F47FDA" w:rsidRDefault="00F47FDA" w:rsidP="00F47FDA">
      <w:pPr>
        <w:pStyle w:val="Caption"/>
        <w:rPr>
          <w:rFonts w:cs="Times New Roman"/>
          <w:b/>
          <w:i w:val="0"/>
          <w:iCs w:val="0"/>
          <w:color w:val="auto"/>
          <w:sz w:val="22"/>
          <w:szCs w:val="22"/>
        </w:rPr>
      </w:pPr>
      <w:r w:rsidRPr="008B59D5">
        <w:rPr>
          <w:rFonts w:cs="Times New Roman"/>
          <w:b/>
          <w:i w:val="0"/>
          <w:iCs w:val="0"/>
          <w:color w:val="auto"/>
          <w:sz w:val="22"/>
          <w:szCs w:val="22"/>
        </w:rPr>
        <w:t xml:space="preserve">Figure </w:t>
      </w:r>
      <w:r w:rsidRPr="008B59D5">
        <w:rPr>
          <w:rFonts w:cs="Times New Roman"/>
          <w:b/>
          <w:i w:val="0"/>
          <w:iCs w:val="0"/>
          <w:color w:val="auto"/>
          <w:sz w:val="22"/>
          <w:szCs w:val="22"/>
        </w:rPr>
        <w:fldChar w:fldCharType="begin"/>
      </w:r>
      <w:r w:rsidRPr="008B59D5">
        <w:rPr>
          <w:rFonts w:cs="Times New Roman"/>
          <w:b/>
          <w:i w:val="0"/>
          <w:iCs w:val="0"/>
          <w:color w:val="auto"/>
          <w:sz w:val="22"/>
          <w:szCs w:val="22"/>
        </w:rPr>
        <w:instrText xml:space="preserve"> SEQ Figure \* ARABIC </w:instrText>
      </w:r>
      <w:r w:rsidRPr="008B59D5">
        <w:rPr>
          <w:rFonts w:cs="Times New Roman"/>
          <w:b/>
          <w:i w:val="0"/>
          <w:iCs w:val="0"/>
          <w:color w:val="auto"/>
          <w:sz w:val="22"/>
          <w:szCs w:val="22"/>
        </w:rPr>
        <w:fldChar w:fldCharType="separate"/>
      </w:r>
      <w:r w:rsidR="00781477">
        <w:rPr>
          <w:rFonts w:cs="Times New Roman"/>
          <w:b/>
          <w:i w:val="0"/>
          <w:iCs w:val="0"/>
          <w:noProof/>
          <w:color w:val="auto"/>
          <w:sz w:val="22"/>
          <w:szCs w:val="22"/>
        </w:rPr>
        <w:t>2</w:t>
      </w:r>
      <w:r w:rsidRPr="008B59D5">
        <w:rPr>
          <w:rFonts w:cs="Times New Roman"/>
          <w:b/>
          <w:i w:val="0"/>
          <w:iCs w:val="0"/>
          <w:color w:val="auto"/>
          <w:sz w:val="22"/>
          <w:szCs w:val="22"/>
        </w:rPr>
        <w:fldChar w:fldCharType="end"/>
      </w:r>
      <w:r w:rsidRPr="008B59D5">
        <w:rPr>
          <w:rFonts w:cs="Times New Roman"/>
          <w:b/>
          <w:i w:val="0"/>
          <w:iCs w:val="0"/>
          <w:color w:val="auto"/>
          <w:sz w:val="22"/>
          <w:szCs w:val="22"/>
        </w:rPr>
        <w:t>: Top Reported OVR Categories</w:t>
      </w:r>
    </w:p>
    <w:p w14:paraId="3E11D3BF" w14:textId="77777777" w:rsidR="00C70478" w:rsidRPr="008B59D5" w:rsidRDefault="00C70478" w:rsidP="008B59D5">
      <w:pPr>
        <w:keepNext/>
        <w:spacing w:line="240" w:lineRule="auto"/>
        <w:rPr>
          <w:rFonts w:cs="Times New Roman"/>
          <w:sz w:val="22"/>
          <w:szCs w:val="22"/>
        </w:rPr>
      </w:pPr>
      <w:r w:rsidRPr="008B59D5">
        <w:rPr>
          <w:rFonts w:cs="Times New Roman"/>
          <w:noProof/>
          <w:sz w:val="22"/>
          <w:szCs w:val="22"/>
          <w:lang w:val="en-GB" w:eastAsia="en-GB"/>
          <w14:ligatures w14:val="none"/>
        </w:rPr>
        <w:drawing>
          <wp:inline distT="0" distB="0" distL="0" distR="0" wp14:anchorId="5A16FDB3" wp14:editId="5BCBD7B3">
            <wp:extent cx="4579620" cy="2506980"/>
            <wp:effectExtent l="0" t="0" r="11430" b="7620"/>
            <wp:docPr id="3" name="Chart 3">
              <a:extLst xmlns:a="http://schemas.openxmlformats.org/drawingml/2006/main">
                <a:ext uri="{FF2B5EF4-FFF2-40B4-BE49-F238E27FC236}">
                  <a16:creationId xmlns:a16="http://schemas.microsoft.com/office/drawing/2014/main" id="{CF8432E2-3B2D-8A3E-378B-DB4DB7F885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E4AB97" w14:textId="071B908A" w:rsidR="00CA604F" w:rsidRDefault="00CA604F" w:rsidP="008B59D5">
      <w:pPr>
        <w:spacing w:line="240" w:lineRule="auto"/>
        <w:rPr>
          <w:rFonts w:cs="Times New Roman"/>
          <w:sz w:val="22"/>
          <w:szCs w:val="22"/>
        </w:rPr>
      </w:pPr>
      <w:r w:rsidRPr="008B59D5">
        <w:rPr>
          <w:rFonts w:cs="Times New Roman"/>
          <w:sz w:val="22"/>
          <w:szCs w:val="22"/>
        </w:rPr>
        <w:t>Over the three years, hospital performance in OVRs varied notably by quarter. In Year 1</w:t>
      </w:r>
      <w:r w:rsidR="006A0DE0" w:rsidRPr="008B59D5">
        <w:rPr>
          <w:rFonts w:cs="Times New Roman"/>
          <w:sz w:val="22"/>
          <w:szCs w:val="22"/>
        </w:rPr>
        <w:t xml:space="preserve"> (2021)</w:t>
      </w:r>
      <w:r w:rsidRPr="008B59D5">
        <w:rPr>
          <w:rFonts w:cs="Times New Roman"/>
          <w:sz w:val="22"/>
          <w:szCs w:val="22"/>
        </w:rPr>
        <w:t>, as shown in Figure 3, NSH led with peak OVRs of 1230 in Q4, and MCH reached 1801 in the same quarter, reflecting high activity. Year 2</w:t>
      </w:r>
      <w:r w:rsidR="006A0DE0" w:rsidRPr="008B59D5">
        <w:rPr>
          <w:rFonts w:cs="Times New Roman"/>
          <w:sz w:val="22"/>
          <w:szCs w:val="22"/>
        </w:rPr>
        <w:t xml:space="preserve"> (2022)</w:t>
      </w:r>
      <w:r w:rsidRPr="008B59D5">
        <w:rPr>
          <w:rFonts w:cs="Times New Roman"/>
          <w:sz w:val="22"/>
          <w:szCs w:val="22"/>
        </w:rPr>
        <w:t xml:space="preserve">, as shown in Figure 4, saw NSH excel again, with Q2 achieving 1333 OVRs, while KAAH experienced its highest OVRs in Q4 at 1527. Conversely, MCH's performance declined sharply in </w:t>
      </w:r>
      <w:r w:rsidR="007D5779" w:rsidRPr="008B59D5">
        <w:rPr>
          <w:rFonts w:cs="Times New Roman"/>
          <w:sz w:val="22"/>
          <w:szCs w:val="22"/>
        </w:rPr>
        <w:t>the fourth quarter</w:t>
      </w:r>
      <w:r w:rsidRPr="008B59D5">
        <w:rPr>
          <w:rFonts w:cs="Times New Roman"/>
          <w:sz w:val="22"/>
          <w:szCs w:val="22"/>
        </w:rPr>
        <w:t>. In Year 3</w:t>
      </w:r>
      <w:r w:rsidR="006A0DE0" w:rsidRPr="008B59D5">
        <w:rPr>
          <w:rFonts w:cs="Times New Roman"/>
          <w:sz w:val="22"/>
          <w:szCs w:val="22"/>
        </w:rPr>
        <w:t xml:space="preserve"> (2024)</w:t>
      </w:r>
      <w:r w:rsidRPr="008B59D5">
        <w:rPr>
          <w:rFonts w:cs="Times New Roman"/>
          <w:sz w:val="22"/>
          <w:szCs w:val="22"/>
        </w:rPr>
        <w:t>, as shown in Figure 5, NSH and KAAH maintained strong figures, with NSH hitting 1404 in Q2 and KAAH 1314 in Q3. MCH’s OVRs fluctuated significantly, demonstrating variable quarterly performance across the hospitals.</w:t>
      </w:r>
    </w:p>
    <w:p w14:paraId="552F5844" w14:textId="1B2A7567" w:rsidR="00F47FDA" w:rsidRPr="00F47FDA" w:rsidRDefault="00F47FDA" w:rsidP="00F47FDA">
      <w:pPr>
        <w:pStyle w:val="Caption"/>
        <w:rPr>
          <w:rFonts w:cs="Times New Roman"/>
          <w:b/>
          <w:i w:val="0"/>
          <w:iCs w:val="0"/>
          <w:color w:val="auto"/>
          <w:sz w:val="22"/>
          <w:szCs w:val="22"/>
        </w:rPr>
      </w:pPr>
      <w:r w:rsidRPr="008B59D5">
        <w:rPr>
          <w:rFonts w:cs="Times New Roman"/>
          <w:b/>
          <w:i w:val="0"/>
          <w:iCs w:val="0"/>
          <w:color w:val="auto"/>
          <w:sz w:val="22"/>
          <w:szCs w:val="22"/>
        </w:rPr>
        <w:t xml:space="preserve">Figure </w:t>
      </w:r>
      <w:r w:rsidRPr="008B59D5">
        <w:rPr>
          <w:rFonts w:cs="Times New Roman"/>
          <w:b/>
          <w:i w:val="0"/>
          <w:iCs w:val="0"/>
          <w:color w:val="auto"/>
          <w:sz w:val="22"/>
          <w:szCs w:val="22"/>
        </w:rPr>
        <w:fldChar w:fldCharType="begin"/>
      </w:r>
      <w:r w:rsidRPr="008B59D5">
        <w:rPr>
          <w:rFonts w:cs="Times New Roman"/>
          <w:b/>
          <w:i w:val="0"/>
          <w:iCs w:val="0"/>
          <w:color w:val="auto"/>
          <w:sz w:val="22"/>
          <w:szCs w:val="22"/>
        </w:rPr>
        <w:instrText xml:space="preserve"> SEQ Figure \* ARABIC </w:instrText>
      </w:r>
      <w:r w:rsidRPr="008B59D5">
        <w:rPr>
          <w:rFonts w:cs="Times New Roman"/>
          <w:b/>
          <w:i w:val="0"/>
          <w:iCs w:val="0"/>
          <w:color w:val="auto"/>
          <w:sz w:val="22"/>
          <w:szCs w:val="22"/>
        </w:rPr>
        <w:fldChar w:fldCharType="separate"/>
      </w:r>
      <w:r w:rsidR="00781477">
        <w:rPr>
          <w:rFonts w:cs="Times New Roman"/>
          <w:b/>
          <w:i w:val="0"/>
          <w:iCs w:val="0"/>
          <w:noProof/>
          <w:color w:val="auto"/>
          <w:sz w:val="22"/>
          <w:szCs w:val="22"/>
        </w:rPr>
        <w:t>3</w:t>
      </w:r>
      <w:r w:rsidRPr="008B59D5">
        <w:rPr>
          <w:rFonts w:cs="Times New Roman"/>
          <w:b/>
          <w:i w:val="0"/>
          <w:iCs w:val="0"/>
          <w:color w:val="auto"/>
          <w:sz w:val="22"/>
          <w:szCs w:val="22"/>
        </w:rPr>
        <w:fldChar w:fldCharType="end"/>
      </w:r>
      <w:r w:rsidRPr="008B59D5">
        <w:rPr>
          <w:rFonts w:cs="Times New Roman"/>
          <w:b/>
          <w:i w:val="0"/>
          <w:iCs w:val="0"/>
          <w:color w:val="auto"/>
          <w:sz w:val="22"/>
          <w:szCs w:val="22"/>
        </w:rPr>
        <w:t>: OVRs per hospital per Quarter in 2021</w:t>
      </w:r>
    </w:p>
    <w:p w14:paraId="0397B6D8" w14:textId="77777777" w:rsidR="00D74D13" w:rsidRDefault="00D74D13" w:rsidP="008B59D5">
      <w:pPr>
        <w:keepNext/>
        <w:spacing w:line="240" w:lineRule="auto"/>
        <w:rPr>
          <w:rFonts w:cs="Times New Roman"/>
          <w:sz w:val="22"/>
          <w:szCs w:val="22"/>
        </w:rPr>
      </w:pPr>
      <w:r w:rsidRPr="008B59D5">
        <w:rPr>
          <w:rFonts w:cs="Times New Roman"/>
          <w:noProof/>
          <w:sz w:val="22"/>
          <w:szCs w:val="22"/>
          <w:lang w:val="en-GB" w:eastAsia="en-GB"/>
          <w14:ligatures w14:val="none"/>
        </w:rPr>
        <w:drawing>
          <wp:inline distT="0" distB="0" distL="0" distR="0" wp14:anchorId="53823C7E" wp14:editId="2127696D">
            <wp:extent cx="5212080" cy="2499360"/>
            <wp:effectExtent l="0" t="0" r="7620" b="15240"/>
            <wp:docPr id="6" name="Chart 6">
              <a:extLst xmlns:a="http://schemas.openxmlformats.org/drawingml/2006/main">
                <a:ext uri="{FF2B5EF4-FFF2-40B4-BE49-F238E27FC236}">
                  <a16:creationId xmlns:a16="http://schemas.microsoft.com/office/drawing/2014/main" id="{71A7048A-1A0A-E1F9-5F29-1AB332A0D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612D8A" w14:textId="21CB4483" w:rsidR="00F47FDA" w:rsidRPr="00F47FDA" w:rsidRDefault="00F47FDA" w:rsidP="009D535B">
      <w:pPr>
        <w:pStyle w:val="Caption"/>
        <w:spacing w:before="100" w:after="100"/>
        <w:rPr>
          <w:rFonts w:cs="Times New Roman"/>
          <w:b/>
          <w:i w:val="0"/>
          <w:iCs w:val="0"/>
          <w:color w:val="auto"/>
          <w:sz w:val="22"/>
          <w:szCs w:val="22"/>
        </w:rPr>
      </w:pPr>
      <w:r w:rsidRPr="008B59D5">
        <w:rPr>
          <w:rFonts w:cs="Times New Roman"/>
          <w:b/>
          <w:i w:val="0"/>
          <w:iCs w:val="0"/>
          <w:color w:val="auto"/>
          <w:sz w:val="22"/>
          <w:szCs w:val="22"/>
        </w:rPr>
        <w:t xml:space="preserve">Figure </w:t>
      </w:r>
      <w:r w:rsidRPr="008B59D5">
        <w:rPr>
          <w:rFonts w:cs="Times New Roman"/>
          <w:b/>
          <w:i w:val="0"/>
          <w:iCs w:val="0"/>
          <w:color w:val="auto"/>
          <w:sz w:val="22"/>
          <w:szCs w:val="22"/>
        </w:rPr>
        <w:fldChar w:fldCharType="begin"/>
      </w:r>
      <w:r w:rsidRPr="008B59D5">
        <w:rPr>
          <w:rFonts w:cs="Times New Roman"/>
          <w:b/>
          <w:i w:val="0"/>
          <w:iCs w:val="0"/>
          <w:color w:val="auto"/>
          <w:sz w:val="22"/>
          <w:szCs w:val="22"/>
        </w:rPr>
        <w:instrText xml:space="preserve"> SEQ Figure \* ARABIC </w:instrText>
      </w:r>
      <w:r w:rsidRPr="008B59D5">
        <w:rPr>
          <w:rFonts w:cs="Times New Roman"/>
          <w:b/>
          <w:i w:val="0"/>
          <w:iCs w:val="0"/>
          <w:color w:val="auto"/>
          <w:sz w:val="22"/>
          <w:szCs w:val="22"/>
        </w:rPr>
        <w:fldChar w:fldCharType="separate"/>
      </w:r>
      <w:r w:rsidR="00781477">
        <w:rPr>
          <w:rFonts w:cs="Times New Roman"/>
          <w:b/>
          <w:i w:val="0"/>
          <w:iCs w:val="0"/>
          <w:noProof/>
          <w:color w:val="auto"/>
          <w:sz w:val="22"/>
          <w:szCs w:val="22"/>
        </w:rPr>
        <w:t>4</w:t>
      </w:r>
      <w:r w:rsidRPr="008B59D5">
        <w:rPr>
          <w:rFonts w:cs="Times New Roman"/>
          <w:b/>
          <w:i w:val="0"/>
          <w:iCs w:val="0"/>
          <w:color w:val="auto"/>
          <w:sz w:val="22"/>
          <w:szCs w:val="22"/>
        </w:rPr>
        <w:fldChar w:fldCharType="end"/>
      </w:r>
      <w:r w:rsidRPr="008B59D5">
        <w:rPr>
          <w:rFonts w:cs="Times New Roman"/>
          <w:b/>
          <w:i w:val="0"/>
          <w:iCs w:val="0"/>
          <w:color w:val="auto"/>
          <w:sz w:val="22"/>
          <w:szCs w:val="22"/>
        </w:rPr>
        <w:t>: OVRs per hospital per Quarter in 2022</w:t>
      </w:r>
    </w:p>
    <w:p w14:paraId="02BC7A48" w14:textId="0AB67F0C" w:rsidR="00F47FDA" w:rsidRPr="00B45716" w:rsidRDefault="00D74D13" w:rsidP="00B45716">
      <w:pPr>
        <w:keepNext/>
        <w:spacing w:line="240" w:lineRule="auto"/>
        <w:rPr>
          <w:rFonts w:cs="Times New Roman"/>
          <w:sz w:val="22"/>
          <w:szCs w:val="22"/>
        </w:rPr>
      </w:pPr>
      <w:r w:rsidRPr="008B59D5">
        <w:rPr>
          <w:rFonts w:cs="Times New Roman"/>
          <w:noProof/>
          <w:sz w:val="22"/>
          <w:szCs w:val="22"/>
          <w:lang w:val="en-GB" w:eastAsia="en-GB"/>
          <w14:ligatures w14:val="none"/>
        </w:rPr>
        <w:drawing>
          <wp:inline distT="0" distB="0" distL="0" distR="0" wp14:anchorId="289E10D4" wp14:editId="14AAC208">
            <wp:extent cx="5029200" cy="2948940"/>
            <wp:effectExtent l="0" t="0" r="0" b="3810"/>
            <wp:docPr id="8" name="Chart 8">
              <a:extLst xmlns:a="http://schemas.openxmlformats.org/drawingml/2006/main">
                <a:ext uri="{FF2B5EF4-FFF2-40B4-BE49-F238E27FC236}">
                  <a16:creationId xmlns:a16="http://schemas.microsoft.com/office/drawing/2014/main" id="{B4DFFF89-0009-8B29-7046-BC09200DC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06EB0D" w14:textId="4E7CF5E4" w:rsidR="00F47FDA" w:rsidRPr="00F47FDA" w:rsidRDefault="00F47FDA" w:rsidP="00F47FDA">
      <w:pPr>
        <w:pStyle w:val="Caption"/>
        <w:rPr>
          <w:rFonts w:cs="Times New Roman"/>
          <w:b/>
          <w:i w:val="0"/>
          <w:iCs w:val="0"/>
          <w:color w:val="auto"/>
          <w:sz w:val="22"/>
          <w:szCs w:val="22"/>
        </w:rPr>
      </w:pPr>
      <w:r w:rsidRPr="008B59D5">
        <w:rPr>
          <w:rFonts w:cs="Times New Roman"/>
          <w:b/>
          <w:i w:val="0"/>
          <w:iCs w:val="0"/>
          <w:color w:val="auto"/>
          <w:sz w:val="22"/>
          <w:szCs w:val="22"/>
        </w:rPr>
        <w:t xml:space="preserve">Figure </w:t>
      </w:r>
      <w:r w:rsidRPr="008B59D5">
        <w:rPr>
          <w:rFonts w:cs="Times New Roman"/>
          <w:b/>
          <w:i w:val="0"/>
          <w:iCs w:val="0"/>
          <w:color w:val="auto"/>
          <w:sz w:val="22"/>
          <w:szCs w:val="22"/>
        </w:rPr>
        <w:fldChar w:fldCharType="begin"/>
      </w:r>
      <w:r w:rsidRPr="008B59D5">
        <w:rPr>
          <w:rFonts w:cs="Times New Roman"/>
          <w:b/>
          <w:i w:val="0"/>
          <w:iCs w:val="0"/>
          <w:color w:val="auto"/>
          <w:sz w:val="22"/>
          <w:szCs w:val="22"/>
        </w:rPr>
        <w:instrText xml:space="preserve"> SEQ Figure \* ARABIC </w:instrText>
      </w:r>
      <w:r w:rsidRPr="008B59D5">
        <w:rPr>
          <w:rFonts w:cs="Times New Roman"/>
          <w:b/>
          <w:i w:val="0"/>
          <w:iCs w:val="0"/>
          <w:color w:val="auto"/>
          <w:sz w:val="22"/>
          <w:szCs w:val="22"/>
        </w:rPr>
        <w:fldChar w:fldCharType="separate"/>
      </w:r>
      <w:r w:rsidR="00781477">
        <w:rPr>
          <w:rFonts w:cs="Times New Roman"/>
          <w:b/>
          <w:i w:val="0"/>
          <w:iCs w:val="0"/>
          <w:noProof/>
          <w:color w:val="auto"/>
          <w:sz w:val="22"/>
          <w:szCs w:val="22"/>
        </w:rPr>
        <w:t>5</w:t>
      </w:r>
      <w:r w:rsidRPr="008B59D5">
        <w:rPr>
          <w:rFonts w:cs="Times New Roman"/>
          <w:b/>
          <w:i w:val="0"/>
          <w:iCs w:val="0"/>
          <w:color w:val="auto"/>
          <w:sz w:val="22"/>
          <w:szCs w:val="22"/>
        </w:rPr>
        <w:fldChar w:fldCharType="end"/>
      </w:r>
      <w:r w:rsidRPr="008B59D5">
        <w:rPr>
          <w:rFonts w:cs="Times New Roman"/>
          <w:b/>
          <w:i w:val="0"/>
          <w:iCs w:val="0"/>
          <w:color w:val="auto"/>
          <w:sz w:val="22"/>
          <w:szCs w:val="22"/>
        </w:rPr>
        <w:t>: OVRs per hospital per Quarter in 2023</w:t>
      </w:r>
    </w:p>
    <w:p w14:paraId="5F9C694C" w14:textId="77777777" w:rsidR="00D74D13" w:rsidRPr="008B59D5" w:rsidRDefault="00D74D13" w:rsidP="008B59D5">
      <w:pPr>
        <w:keepNext/>
        <w:spacing w:line="240" w:lineRule="auto"/>
        <w:rPr>
          <w:rFonts w:cs="Times New Roman"/>
          <w:sz w:val="22"/>
          <w:szCs w:val="22"/>
        </w:rPr>
      </w:pPr>
      <w:r w:rsidRPr="008B59D5">
        <w:rPr>
          <w:rFonts w:cs="Times New Roman"/>
          <w:noProof/>
          <w:sz w:val="22"/>
          <w:szCs w:val="22"/>
          <w:lang w:val="en-GB" w:eastAsia="en-GB"/>
          <w14:ligatures w14:val="none"/>
        </w:rPr>
        <w:drawing>
          <wp:inline distT="0" distB="0" distL="0" distR="0" wp14:anchorId="1BC24746" wp14:editId="7FC05A88">
            <wp:extent cx="4762500" cy="2994660"/>
            <wp:effectExtent l="0" t="0" r="0" b="15240"/>
            <wp:docPr id="9" name="Chart 9">
              <a:extLst xmlns:a="http://schemas.openxmlformats.org/drawingml/2006/main">
                <a:ext uri="{FF2B5EF4-FFF2-40B4-BE49-F238E27FC236}">
                  <a16:creationId xmlns:a16="http://schemas.microsoft.com/office/drawing/2014/main" id="{A41C977E-4871-F7E1-C6A5-E60F50945F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1C471D" w14:textId="566D7031" w:rsidR="00D74D13" w:rsidRDefault="00D74D13" w:rsidP="008B59D5">
      <w:pPr>
        <w:spacing w:line="240" w:lineRule="auto"/>
        <w:rPr>
          <w:rFonts w:cs="Times New Roman"/>
          <w:sz w:val="22"/>
          <w:szCs w:val="22"/>
        </w:rPr>
      </w:pPr>
      <w:r w:rsidRPr="008B59D5">
        <w:rPr>
          <w:rFonts w:cs="Times New Roman"/>
          <w:sz w:val="22"/>
          <w:szCs w:val="22"/>
        </w:rPr>
        <w:t xml:space="preserve">The OVR </w:t>
      </w:r>
      <w:r w:rsidR="00CA604F" w:rsidRPr="008B59D5">
        <w:rPr>
          <w:rFonts w:cs="Times New Roman"/>
          <w:sz w:val="22"/>
          <w:szCs w:val="22"/>
        </w:rPr>
        <w:t>data categorized</w:t>
      </w:r>
      <w:r w:rsidRPr="008B59D5">
        <w:rPr>
          <w:rFonts w:cs="Times New Roman"/>
          <w:sz w:val="22"/>
          <w:szCs w:val="22"/>
        </w:rPr>
        <w:t xml:space="preserve"> incidents based on their impact on patients or individuals</w:t>
      </w:r>
      <w:r w:rsidR="00CA604F" w:rsidRPr="008B59D5">
        <w:rPr>
          <w:rFonts w:cs="Times New Roman"/>
          <w:sz w:val="22"/>
          <w:szCs w:val="22"/>
        </w:rPr>
        <w:t>, as shown in Figure</w:t>
      </w:r>
      <w:r w:rsidR="003F287E" w:rsidRPr="008B59D5">
        <w:rPr>
          <w:rFonts w:cs="Times New Roman"/>
          <w:sz w:val="22"/>
          <w:szCs w:val="22"/>
        </w:rPr>
        <w:t xml:space="preserve"> </w:t>
      </w:r>
      <w:r w:rsidR="00CA604F" w:rsidRPr="008B59D5">
        <w:rPr>
          <w:rFonts w:cs="Times New Roman"/>
          <w:sz w:val="22"/>
          <w:szCs w:val="22"/>
        </w:rPr>
        <w:t>6</w:t>
      </w:r>
      <w:r w:rsidRPr="008B59D5">
        <w:rPr>
          <w:rFonts w:cs="Times New Roman"/>
          <w:sz w:val="22"/>
          <w:szCs w:val="22"/>
        </w:rPr>
        <w:t>. The "None" category, indicating incidents with no harm, was reported 21,702 times in 2021, 1,811 times in 2022, and 6,350 times in 2023. The "Minor" category, involving incidents that required non-invasive diagnostic tests and increased monitoring but did not alter vital signs, had 704 reports in 2021, 99 in 2022, and 2,393 in 2023. "Moderate" incidents, which involve changes in vital signs, decreased consciousness, and the need for medication or invasive procedures, were reported 181 times in 2021, 50 times in 2022, and 472 times in 2023. The "Major" category, representing unexpected incidents causing permanent or long-term harm, showed a notable increase from 5 reports in 2021 and 2 in 2022 to 240 in 2023. Lastly, the "Catastrophic" category, which denotes incidents resulting in death, recorded 2 cases in 2021, 1 in 2022, and 26 in 2023.</w:t>
      </w:r>
    </w:p>
    <w:p w14:paraId="7F14B9A2" w14:textId="10353195" w:rsidR="00F47FDA" w:rsidRPr="008B59D5" w:rsidRDefault="00F47FDA" w:rsidP="00F47FDA">
      <w:pPr>
        <w:pStyle w:val="Caption"/>
        <w:rPr>
          <w:rFonts w:cs="Times New Roman"/>
          <w:b/>
          <w:i w:val="0"/>
          <w:iCs w:val="0"/>
          <w:color w:val="auto"/>
          <w:sz w:val="22"/>
          <w:szCs w:val="22"/>
        </w:rPr>
      </w:pPr>
      <w:r w:rsidRPr="008B59D5">
        <w:rPr>
          <w:rFonts w:cs="Times New Roman"/>
          <w:b/>
          <w:i w:val="0"/>
          <w:iCs w:val="0"/>
          <w:color w:val="auto"/>
          <w:sz w:val="22"/>
          <w:szCs w:val="22"/>
        </w:rPr>
        <w:t xml:space="preserve">Figure </w:t>
      </w:r>
      <w:r w:rsidRPr="008B59D5">
        <w:rPr>
          <w:rFonts w:cs="Times New Roman"/>
          <w:b/>
          <w:i w:val="0"/>
          <w:iCs w:val="0"/>
          <w:color w:val="auto"/>
          <w:sz w:val="22"/>
          <w:szCs w:val="22"/>
        </w:rPr>
        <w:fldChar w:fldCharType="begin"/>
      </w:r>
      <w:r w:rsidRPr="008B59D5">
        <w:rPr>
          <w:rFonts w:cs="Times New Roman"/>
          <w:b/>
          <w:i w:val="0"/>
          <w:iCs w:val="0"/>
          <w:color w:val="auto"/>
          <w:sz w:val="22"/>
          <w:szCs w:val="22"/>
        </w:rPr>
        <w:instrText xml:space="preserve"> SEQ Figure \* ARABIC </w:instrText>
      </w:r>
      <w:r w:rsidRPr="008B59D5">
        <w:rPr>
          <w:rFonts w:cs="Times New Roman"/>
          <w:b/>
          <w:i w:val="0"/>
          <w:iCs w:val="0"/>
          <w:color w:val="auto"/>
          <w:sz w:val="22"/>
          <w:szCs w:val="22"/>
        </w:rPr>
        <w:fldChar w:fldCharType="separate"/>
      </w:r>
      <w:r w:rsidR="00781477">
        <w:rPr>
          <w:rFonts w:cs="Times New Roman"/>
          <w:b/>
          <w:i w:val="0"/>
          <w:iCs w:val="0"/>
          <w:noProof/>
          <w:color w:val="auto"/>
          <w:sz w:val="22"/>
          <w:szCs w:val="22"/>
        </w:rPr>
        <w:t>6</w:t>
      </w:r>
      <w:r w:rsidRPr="008B59D5">
        <w:rPr>
          <w:rFonts w:cs="Times New Roman"/>
          <w:b/>
          <w:i w:val="0"/>
          <w:iCs w:val="0"/>
          <w:color w:val="auto"/>
          <w:sz w:val="22"/>
          <w:szCs w:val="22"/>
        </w:rPr>
        <w:fldChar w:fldCharType="end"/>
      </w:r>
      <w:r w:rsidRPr="008B59D5">
        <w:rPr>
          <w:rFonts w:cs="Times New Roman"/>
          <w:b/>
          <w:i w:val="0"/>
          <w:iCs w:val="0"/>
          <w:color w:val="auto"/>
          <w:sz w:val="22"/>
          <w:szCs w:val="22"/>
        </w:rPr>
        <w:t>: OVRs Numbers by Category of Harm Level</w:t>
      </w:r>
    </w:p>
    <w:p w14:paraId="64E128D5" w14:textId="428C2F40" w:rsidR="00D74D13" w:rsidRPr="008B59D5" w:rsidRDefault="00F47FDA" w:rsidP="007501CB">
      <w:pPr>
        <w:spacing w:line="240" w:lineRule="auto"/>
        <w:rPr>
          <w:rFonts w:cs="Times New Roman"/>
          <w:sz w:val="22"/>
          <w:szCs w:val="22"/>
        </w:rPr>
      </w:pPr>
      <w:r w:rsidRPr="008B59D5">
        <w:rPr>
          <w:rFonts w:cs="Times New Roman"/>
          <w:noProof/>
          <w:sz w:val="22"/>
          <w:szCs w:val="22"/>
          <w:lang w:val="en-GB" w:eastAsia="en-GB"/>
          <w14:ligatures w14:val="none"/>
        </w:rPr>
        <w:drawing>
          <wp:inline distT="0" distB="0" distL="0" distR="0" wp14:anchorId="30A9CADB" wp14:editId="56AE1B54">
            <wp:extent cx="5074920" cy="2468880"/>
            <wp:effectExtent l="0" t="0" r="11430" b="7620"/>
            <wp:docPr id="4" name="Chart 4">
              <a:extLst xmlns:a="http://schemas.openxmlformats.org/drawingml/2006/main">
                <a:ext uri="{FF2B5EF4-FFF2-40B4-BE49-F238E27FC236}">
                  <a16:creationId xmlns:a16="http://schemas.microsoft.com/office/drawing/2014/main" id="{5DF3ADF4-67F2-3745-1C1E-EC44C1AD24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7B625B4" w14:textId="33C5A5E5" w:rsidR="00D74D13" w:rsidRDefault="00CA604F" w:rsidP="008B59D5">
      <w:pPr>
        <w:spacing w:line="240" w:lineRule="auto"/>
        <w:rPr>
          <w:rFonts w:cs="Times New Roman"/>
          <w:sz w:val="22"/>
          <w:szCs w:val="22"/>
        </w:rPr>
      </w:pPr>
      <w:r w:rsidRPr="008B59D5">
        <w:rPr>
          <w:rFonts w:cs="Times New Roman"/>
          <w:sz w:val="22"/>
          <w:szCs w:val="22"/>
        </w:rPr>
        <w:t>The most common methods for sharing lessons learned with staff to enhance overall knowledge and practices were alerts, meetings, newspapers, and presentations. Alerts were the most frequently utilized method, with 2,416 instances in 2021, 1,911 in 2022, and 500 in 2023</w:t>
      </w:r>
      <w:r w:rsidR="00322E02" w:rsidRPr="008B59D5">
        <w:rPr>
          <w:rFonts w:cs="Times New Roman"/>
          <w:sz w:val="22"/>
          <w:szCs w:val="22"/>
        </w:rPr>
        <w:t>, as shown in Figure 7</w:t>
      </w:r>
      <w:r w:rsidRPr="008B59D5">
        <w:rPr>
          <w:rFonts w:cs="Times New Roman"/>
          <w:sz w:val="22"/>
          <w:szCs w:val="22"/>
        </w:rPr>
        <w:t xml:space="preserve">. Presentations were given 103 times in 2021, 20 times in 2022, and 46 times in 2023. Meetings were </w:t>
      </w:r>
      <w:r w:rsidR="008F65A8" w:rsidRPr="008B59D5">
        <w:rPr>
          <w:rFonts w:cs="Times New Roman"/>
          <w:sz w:val="22"/>
          <w:szCs w:val="22"/>
        </w:rPr>
        <w:t>hel</w:t>
      </w:r>
      <w:r w:rsidRPr="008B59D5">
        <w:rPr>
          <w:rFonts w:cs="Times New Roman"/>
          <w:sz w:val="22"/>
          <w:szCs w:val="22"/>
        </w:rPr>
        <w:t>d 251 times in 2021, 43 in 2022, and 76 in 2023. Newspapers were the least used method, with 47 distributions in 2021, 1 in 2022, and 4 in 2023</w:t>
      </w:r>
      <w:r w:rsidR="007D5779" w:rsidRPr="008B59D5">
        <w:rPr>
          <w:rFonts w:cs="Times New Roman"/>
          <w:sz w:val="22"/>
          <w:szCs w:val="22"/>
        </w:rPr>
        <w:t>,</w:t>
      </w:r>
      <w:r w:rsidRPr="008B59D5">
        <w:rPr>
          <w:rFonts w:cs="Times New Roman"/>
          <w:sz w:val="22"/>
          <w:szCs w:val="22"/>
        </w:rPr>
        <w:t xml:space="preserve"> </w:t>
      </w:r>
      <w:r w:rsidR="007D5779" w:rsidRPr="008B59D5">
        <w:rPr>
          <w:rFonts w:cs="Times New Roman"/>
          <w:sz w:val="22"/>
          <w:szCs w:val="22"/>
        </w:rPr>
        <w:t>as</w:t>
      </w:r>
      <w:r w:rsidRPr="008B59D5">
        <w:rPr>
          <w:rFonts w:cs="Times New Roman"/>
          <w:sz w:val="22"/>
          <w:szCs w:val="22"/>
        </w:rPr>
        <w:t xml:space="preserve"> </w:t>
      </w:r>
      <w:r w:rsidR="007D5779" w:rsidRPr="008B59D5">
        <w:rPr>
          <w:rFonts w:cs="Times New Roman"/>
          <w:sz w:val="22"/>
          <w:szCs w:val="22"/>
        </w:rPr>
        <w:t>shown in the</w:t>
      </w:r>
      <w:r w:rsidRPr="008B59D5">
        <w:rPr>
          <w:rFonts w:cs="Times New Roman"/>
          <w:sz w:val="22"/>
          <w:szCs w:val="22"/>
        </w:rPr>
        <w:t xml:space="preserve"> visual representation of these trends.</w:t>
      </w:r>
    </w:p>
    <w:p w14:paraId="519A78E9" w14:textId="4A5E2DBE" w:rsidR="007501CB" w:rsidRPr="007501CB" w:rsidRDefault="007501CB" w:rsidP="007501CB">
      <w:pPr>
        <w:pStyle w:val="Caption"/>
        <w:rPr>
          <w:rFonts w:cs="Times New Roman"/>
          <w:b/>
          <w:i w:val="0"/>
          <w:iCs w:val="0"/>
          <w:color w:val="auto"/>
          <w:sz w:val="22"/>
          <w:szCs w:val="22"/>
        </w:rPr>
      </w:pPr>
      <w:r w:rsidRPr="008B59D5">
        <w:rPr>
          <w:rFonts w:cs="Times New Roman"/>
          <w:b/>
          <w:i w:val="0"/>
          <w:iCs w:val="0"/>
          <w:color w:val="auto"/>
          <w:sz w:val="22"/>
          <w:szCs w:val="22"/>
        </w:rPr>
        <w:t xml:space="preserve">Figure </w:t>
      </w:r>
      <w:r w:rsidRPr="008B59D5">
        <w:rPr>
          <w:rFonts w:cs="Times New Roman"/>
          <w:b/>
          <w:i w:val="0"/>
          <w:iCs w:val="0"/>
          <w:color w:val="auto"/>
          <w:sz w:val="22"/>
          <w:szCs w:val="22"/>
        </w:rPr>
        <w:fldChar w:fldCharType="begin"/>
      </w:r>
      <w:r w:rsidRPr="008B59D5">
        <w:rPr>
          <w:rFonts w:cs="Times New Roman"/>
          <w:b/>
          <w:i w:val="0"/>
          <w:iCs w:val="0"/>
          <w:color w:val="auto"/>
          <w:sz w:val="22"/>
          <w:szCs w:val="22"/>
        </w:rPr>
        <w:instrText xml:space="preserve"> SEQ Figure \* ARABIC </w:instrText>
      </w:r>
      <w:r w:rsidRPr="008B59D5">
        <w:rPr>
          <w:rFonts w:cs="Times New Roman"/>
          <w:b/>
          <w:i w:val="0"/>
          <w:iCs w:val="0"/>
          <w:color w:val="auto"/>
          <w:sz w:val="22"/>
          <w:szCs w:val="22"/>
        </w:rPr>
        <w:fldChar w:fldCharType="separate"/>
      </w:r>
      <w:r w:rsidR="00781477">
        <w:rPr>
          <w:rFonts w:cs="Times New Roman"/>
          <w:b/>
          <w:i w:val="0"/>
          <w:iCs w:val="0"/>
          <w:noProof/>
          <w:color w:val="auto"/>
          <w:sz w:val="22"/>
          <w:szCs w:val="22"/>
        </w:rPr>
        <w:t>7</w:t>
      </w:r>
      <w:r w:rsidRPr="008B59D5">
        <w:rPr>
          <w:rFonts w:cs="Times New Roman"/>
          <w:b/>
          <w:i w:val="0"/>
          <w:iCs w:val="0"/>
          <w:color w:val="auto"/>
          <w:sz w:val="22"/>
          <w:szCs w:val="22"/>
        </w:rPr>
        <w:fldChar w:fldCharType="end"/>
      </w:r>
      <w:r w:rsidRPr="008B59D5">
        <w:rPr>
          <w:rFonts w:cs="Times New Roman"/>
          <w:b/>
          <w:i w:val="0"/>
          <w:iCs w:val="0"/>
          <w:color w:val="auto"/>
          <w:sz w:val="22"/>
          <w:szCs w:val="22"/>
        </w:rPr>
        <w:t>: Lessons Learned Shared with Staff</w:t>
      </w:r>
    </w:p>
    <w:p w14:paraId="51D14DF8" w14:textId="77777777" w:rsidR="00CA604F" w:rsidRPr="008B59D5" w:rsidRDefault="00D74D13" w:rsidP="008B59D5">
      <w:pPr>
        <w:keepNext/>
        <w:spacing w:line="240" w:lineRule="auto"/>
        <w:rPr>
          <w:rFonts w:cs="Times New Roman"/>
          <w:sz w:val="22"/>
          <w:szCs w:val="22"/>
        </w:rPr>
      </w:pPr>
      <w:r w:rsidRPr="008B59D5">
        <w:rPr>
          <w:rFonts w:cs="Times New Roman"/>
          <w:noProof/>
          <w:sz w:val="22"/>
          <w:szCs w:val="22"/>
          <w:lang w:val="en-GB" w:eastAsia="en-GB"/>
          <w14:ligatures w14:val="none"/>
        </w:rPr>
        <w:drawing>
          <wp:inline distT="0" distB="0" distL="0" distR="0" wp14:anchorId="64685F0E" wp14:editId="3940C31B">
            <wp:extent cx="4892040" cy="2514600"/>
            <wp:effectExtent l="0" t="0" r="3810" b="0"/>
            <wp:docPr id="5" name="Chart 5">
              <a:extLst xmlns:a="http://schemas.openxmlformats.org/drawingml/2006/main">
                <a:ext uri="{FF2B5EF4-FFF2-40B4-BE49-F238E27FC236}">
                  <a16:creationId xmlns:a16="http://schemas.microsoft.com/office/drawing/2014/main" id="{D609907B-59D7-8EC6-753C-E6369C5DD6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End w:id="0"/>
    <w:p w14:paraId="214973FD" w14:textId="190BCFFF" w:rsidR="003A0445" w:rsidRPr="008B59D5" w:rsidRDefault="00090C26" w:rsidP="009D535B">
      <w:pPr>
        <w:pStyle w:val="Heading1"/>
        <w:spacing w:before="0" w:beforeAutospacing="0" w:after="0" w:afterAutospacing="0" w:line="240" w:lineRule="auto"/>
        <w:rPr>
          <w:rFonts w:cs="Times New Roman"/>
          <w:color w:val="auto"/>
          <w:sz w:val="22"/>
          <w:szCs w:val="22"/>
        </w:rPr>
      </w:pPr>
      <w:r w:rsidRPr="008B59D5">
        <w:rPr>
          <w:rFonts w:cs="Times New Roman"/>
          <w:color w:val="auto"/>
          <w:sz w:val="22"/>
          <w:szCs w:val="22"/>
        </w:rPr>
        <w:t>Discussion</w:t>
      </w:r>
    </w:p>
    <w:p w14:paraId="18B66A63" w14:textId="10B21608" w:rsidR="00892BC3" w:rsidRPr="008B59D5" w:rsidRDefault="004560DC" w:rsidP="009D535B">
      <w:pPr>
        <w:spacing w:before="0" w:beforeAutospacing="0" w:after="0" w:afterAutospacing="0" w:line="240" w:lineRule="auto"/>
        <w:rPr>
          <w:rFonts w:cs="Times New Roman"/>
          <w:sz w:val="22"/>
          <w:szCs w:val="22"/>
        </w:rPr>
      </w:pPr>
      <w:r w:rsidRPr="008B59D5">
        <w:rPr>
          <w:rFonts w:cs="Times New Roman"/>
          <w:sz w:val="22"/>
          <w:szCs w:val="22"/>
        </w:rPr>
        <w:t xml:space="preserve">This cross-sectional study aimed to assess </w:t>
      </w:r>
      <w:r w:rsidR="008F65A8" w:rsidRPr="008B59D5">
        <w:rPr>
          <w:rFonts w:cs="Times New Roman"/>
          <w:sz w:val="22"/>
          <w:szCs w:val="22"/>
        </w:rPr>
        <w:t>staff members'</w:t>
      </w:r>
      <w:r w:rsidRPr="008B59D5">
        <w:rPr>
          <w:rFonts w:cs="Times New Roman"/>
          <w:sz w:val="22"/>
          <w:szCs w:val="22"/>
        </w:rPr>
        <w:t xml:space="preserve"> level of OVR knowledge a</w:t>
      </w:r>
      <w:r w:rsidR="008F65A8" w:rsidRPr="008B59D5">
        <w:rPr>
          <w:rFonts w:cs="Times New Roman"/>
          <w:sz w:val="22"/>
          <w:szCs w:val="22"/>
        </w:rPr>
        <w:t>t</w:t>
      </w:r>
      <w:r w:rsidRPr="008B59D5">
        <w:rPr>
          <w:rFonts w:cs="Times New Roman"/>
          <w:sz w:val="22"/>
          <w:szCs w:val="22"/>
        </w:rPr>
        <w:t xml:space="preserve"> MHC hospitals. From the study, it </w:t>
      </w:r>
      <w:r w:rsidR="008F65A8" w:rsidRPr="008B59D5">
        <w:rPr>
          <w:rFonts w:cs="Times New Roman"/>
          <w:sz w:val="22"/>
          <w:szCs w:val="22"/>
        </w:rPr>
        <w:t>is clear that reports increased in 2021 compared to</w:t>
      </w:r>
      <w:r w:rsidR="007D5779" w:rsidRPr="008B59D5">
        <w:rPr>
          <w:rFonts w:cs="Times New Roman"/>
          <w:sz w:val="22"/>
          <w:szCs w:val="22"/>
        </w:rPr>
        <w:t xml:space="preserve"> </w:t>
      </w:r>
      <w:r w:rsidRPr="008B59D5">
        <w:rPr>
          <w:rFonts w:cs="Times New Roman"/>
          <w:sz w:val="22"/>
          <w:szCs w:val="22"/>
        </w:rPr>
        <w:t xml:space="preserve">2022 or 2023. The reduced number may </w:t>
      </w:r>
      <w:r w:rsidR="007D5779" w:rsidRPr="008B59D5">
        <w:rPr>
          <w:rFonts w:cs="Times New Roman"/>
          <w:sz w:val="22"/>
          <w:szCs w:val="22"/>
        </w:rPr>
        <w:t>be related</w:t>
      </w:r>
      <w:r w:rsidRPr="008B59D5">
        <w:rPr>
          <w:rFonts w:cs="Times New Roman"/>
          <w:sz w:val="22"/>
          <w:szCs w:val="22"/>
        </w:rPr>
        <w:t xml:space="preserve"> to </w:t>
      </w:r>
      <w:r w:rsidR="008F65A8" w:rsidRPr="008B59D5">
        <w:rPr>
          <w:rFonts w:cs="Times New Roman"/>
          <w:sz w:val="22"/>
          <w:szCs w:val="22"/>
        </w:rPr>
        <w:t xml:space="preserve">hospital </w:t>
      </w:r>
      <w:r w:rsidRPr="008B59D5">
        <w:rPr>
          <w:rFonts w:cs="Times New Roman"/>
          <w:sz w:val="22"/>
          <w:szCs w:val="22"/>
        </w:rPr>
        <w:t xml:space="preserve">improvement initiatives that </w:t>
      </w:r>
      <w:r w:rsidR="008F65A8" w:rsidRPr="008B59D5">
        <w:rPr>
          <w:rFonts w:cs="Times New Roman"/>
          <w:sz w:val="22"/>
          <w:szCs w:val="22"/>
        </w:rPr>
        <w:t>could</w:t>
      </w:r>
      <w:r w:rsidRPr="008B59D5">
        <w:rPr>
          <w:rFonts w:cs="Times New Roman"/>
          <w:sz w:val="22"/>
          <w:szCs w:val="22"/>
        </w:rPr>
        <w:t xml:space="preserve"> help </w:t>
      </w:r>
      <w:r w:rsidR="007D5779" w:rsidRPr="008B59D5">
        <w:rPr>
          <w:rFonts w:cs="Times New Roman"/>
          <w:sz w:val="22"/>
          <w:szCs w:val="22"/>
        </w:rPr>
        <w:t>address</w:t>
      </w:r>
      <w:r w:rsidRPr="008B59D5">
        <w:rPr>
          <w:rFonts w:cs="Times New Roman"/>
          <w:sz w:val="22"/>
          <w:szCs w:val="22"/>
        </w:rPr>
        <w:t xml:space="preserve"> patient safety</w:t>
      </w:r>
      <w:r w:rsidR="007D5779" w:rsidRPr="008B59D5">
        <w:rPr>
          <w:rFonts w:cs="Times New Roman"/>
          <w:sz w:val="22"/>
          <w:szCs w:val="22"/>
        </w:rPr>
        <w:t xml:space="preserve"> issues</w:t>
      </w:r>
      <w:r w:rsidRPr="008B59D5">
        <w:rPr>
          <w:rFonts w:cs="Times New Roman"/>
          <w:sz w:val="22"/>
          <w:szCs w:val="22"/>
        </w:rPr>
        <w:t xml:space="preserve">. But this decrease may be associated with perceived leader support or perceived risk of sanctions. These findings are consistent with the survey conducted by Albarrak et </w:t>
      </w:r>
      <w:r w:rsidR="007D5779" w:rsidRPr="008B59D5">
        <w:rPr>
          <w:rFonts w:cs="Times New Roman"/>
          <w:sz w:val="22"/>
          <w:szCs w:val="22"/>
        </w:rPr>
        <w:t>al. (2020), which revealed that half of the participants from the emergency department reported a non-punitive environment, while the other half experienced disciplinary action after filing a complaint (p &lt; 0.</w:t>
      </w:r>
      <w:r w:rsidRPr="008B59D5">
        <w:rPr>
          <w:rFonts w:cs="Times New Roman"/>
          <w:sz w:val="22"/>
          <w:szCs w:val="22"/>
        </w:rPr>
        <w:t xml:space="preserve">001). These outcomes indicated that organizational culture and leadership are significant factors </w:t>
      </w:r>
      <w:r w:rsidR="007D5779" w:rsidRPr="008B59D5">
        <w:rPr>
          <w:rFonts w:cs="Times New Roman"/>
          <w:sz w:val="22"/>
          <w:szCs w:val="22"/>
        </w:rPr>
        <w:t>influencing</w:t>
      </w:r>
      <w:r w:rsidRPr="008B59D5">
        <w:rPr>
          <w:rFonts w:cs="Times New Roman"/>
          <w:sz w:val="22"/>
          <w:szCs w:val="22"/>
        </w:rPr>
        <w:t xml:space="preserve"> </w:t>
      </w:r>
      <w:r w:rsidR="008F65A8" w:rsidRPr="008B59D5">
        <w:rPr>
          <w:rFonts w:cs="Times New Roman"/>
          <w:sz w:val="22"/>
          <w:szCs w:val="22"/>
        </w:rPr>
        <w:t xml:space="preserve">staff </w:t>
      </w:r>
      <w:r w:rsidRPr="008B59D5">
        <w:rPr>
          <w:rFonts w:cs="Times New Roman"/>
          <w:sz w:val="22"/>
          <w:szCs w:val="22"/>
        </w:rPr>
        <w:t>reporting behaviors. Additionally, 54% stated that while the OVR executive did approach reports systemically rather than individually, the condition was not satisfied (statistical significance identified, p = 0</w:t>
      </w:r>
      <w:r w:rsidR="007D5779" w:rsidRPr="008B59D5">
        <w:rPr>
          <w:rFonts w:cs="Times New Roman"/>
          <w:sz w:val="22"/>
          <w:szCs w:val="22"/>
        </w:rPr>
        <w:t>.</w:t>
      </w:r>
      <w:r w:rsidRPr="008B59D5">
        <w:rPr>
          <w:rFonts w:cs="Times New Roman"/>
          <w:sz w:val="22"/>
          <w:szCs w:val="22"/>
        </w:rPr>
        <w:t xml:space="preserve">002) </w:t>
      </w:r>
      <w:r w:rsidR="006252C1" w:rsidRPr="008B59D5">
        <w:rPr>
          <w:rFonts w:cs="Times New Roman"/>
          <w:sz w:val="22"/>
          <w:szCs w:val="22"/>
        </w:rPr>
        <w:fldChar w:fldCharType="begin"/>
      </w:r>
      <w:r w:rsidR="007F2092" w:rsidRPr="008B59D5">
        <w:rPr>
          <w:rFonts w:cs="Times New Roman"/>
          <w:sz w:val="22"/>
          <w:szCs w:val="22"/>
        </w:rPr>
        <w:instrText xml:space="preserve"> ADDIN EN.CITE &lt;EndNote&gt;&lt;Cite&gt;&lt;Author&gt;Albarrak&lt;/Author&gt;&lt;Year&gt;2020&lt;/Year&gt;&lt;RecNum&gt;135&lt;/RecNum&gt;&lt;DisplayText&gt;(9)&lt;/DisplayText&gt;&lt;record&gt;&lt;rec-number&gt;135&lt;/rec-number&gt;&lt;foreign-keys&gt;&lt;key app="EN" db-id="atd5wdxd65z0fqe520up2zer9v5w20swx5az" timestamp="1723188015"&gt;135&lt;/key&gt;&lt;/foreign-keys&gt;&lt;ref-type name="Journal Article"&gt;17&lt;/ref-type&gt;&lt;contributors&gt;&lt;authors&gt;&lt;author&gt;Albarrak, Ahmed I&lt;/author&gt;&lt;author&gt;Almansour, Ammar S&lt;/author&gt;&lt;author&gt;Alzahrani, Ali A&lt;/author&gt;&lt;author&gt;Almalki, Abdulaziz H&lt;/author&gt;&lt;author&gt;Alshehri, Abdulrahman A&lt;/author&gt;&lt;author&gt;Mohammed, Rafiuddin&lt;/author&gt;&lt;/authors&gt;&lt;/contributors&gt;&lt;titles&gt;&lt;title&gt;Assessment of patient safety challenges and electronic occurrence variance reporting (e-OVR) barriers facing physicians and nurses in the emergency department: a cross sectional study&lt;/title&gt;&lt;secondary-title&gt;BMC emergency medicine&lt;/secondary-title&gt;&lt;/titles&gt;&lt;periodical&gt;&lt;full-title&gt;BMC emergency medicine&lt;/full-title&gt;&lt;/periodical&gt;&lt;pages&gt;1-8&lt;/pages&gt;&lt;volume&gt;20&lt;/volume&gt;&lt;dates&gt;&lt;year&gt;2020&lt;/year&gt;&lt;/dates&gt;&lt;urls&gt;&lt;/urls&gt;&lt;/record&gt;&lt;/Cite&gt;&lt;Cite&gt;&lt;Author&gt;Albarrak&lt;/Author&gt;&lt;Year&gt;2020&lt;/Year&gt;&lt;RecNum&gt;135&lt;/RecNum&gt;&lt;record&gt;&lt;rec-number&gt;135&lt;/rec-number&gt;&lt;foreign-keys&gt;&lt;key app="EN" db-id="atd5wdxd65z0fqe520up2zer9v5w20swx5az" timestamp="1723188015"&gt;135&lt;/key&gt;&lt;/foreign-keys&gt;&lt;ref-type name="Journal Article"&gt;17&lt;/ref-type&gt;&lt;contributors&gt;&lt;authors&gt;&lt;author&gt;Albarrak, Ahmed I&lt;/author&gt;&lt;author&gt;Almansour, Ammar S&lt;/author&gt;&lt;author&gt;Alzahrani, Ali A&lt;/author&gt;&lt;author&gt;Almalki, Abdulaziz H&lt;/author&gt;&lt;author&gt;Alshehri, Abdulrahman A&lt;/author&gt;&lt;author&gt;Mohammed, Rafiuddin&lt;/author&gt;&lt;/authors&gt;&lt;/contributors&gt;&lt;titles&gt;&lt;title&gt;Assessment of patient safety challenges and electronic occurrence variance reporting (e-OVR) barriers facing physicians and nurses in the emergency department: a cross sectional study&lt;/title&gt;&lt;secondary-title&gt;BMC emergency medicine&lt;/secondary-title&gt;&lt;/titles&gt;&lt;periodical&gt;&lt;full-title&gt;BMC emergency medicine&lt;/full-title&gt;&lt;/periodical&gt;&lt;pages&gt;1-8&lt;/pages&gt;&lt;volume&gt;20&lt;/volume&gt;&lt;dates&gt;&lt;year&gt;2020&lt;/year&gt;&lt;/dates&gt;&lt;urls&gt;&lt;/urls&gt;&lt;/record&gt;&lt;/Cite&gt;&lt;/EndNote&gt;</w:instrText>
      </w:r>
      <w:r w:rsidR="006252C1" w:rsidRPr="008B59D5">
        <w:rPr>
          <w:rFonts w:cs="Times New Roman"/>
          <w:sz w:val="22"/>
          <w:szCs w:val="22"/>
        </w:rPr>
        <w:fldChar w:fldCharType="separate"/>
      </w:r>
      <w:r w:rsidR="007F2092" w:rsidRPr="008B59D5">
        <w:rPr>
          <w:rFonts w:cs="Times New Roman"/>
          <w:noProof/>
          <w:sz w:val="22"/>
          <w:szCs w:val="22"/>
        </w:rPr>
        <w:t>(9)</w:t>
      </w:r>
      <w:r w:rsidR="006252C1" w:rsidRPr="008B59D5">
        <w:rPr>
          <w:rFonts w:cs="Times New Roman"/>
          <w:sz w:val="22"/>
          <w:szCs w:val="22"/>
        </w:rPr>
        <w:fldChar w:fldCharType="end"/>
      </w:r>
      <w:r w:rsidR="006252C1" w:rsidRPr="008B59D5">
        <w:rPr>
          <w:rFonts w:cs="Times New Roman"/>
          <w:sz w:val="22"/>
          <w:szCs w:val="22"/>
        </w:rPr>
        <w:t xml:space="preserve">. </w:t>
      </w:r>
      <w:r w:rsidR="00892BC3" w:rsidRPr="008B59D5">
        <w:rPr>
          <w:rFonts w:cs="Times New Roman"/>
          <w:sz w:val="22"/>
          <w:szCs w:val="22"/>
        </w:rPr>
        <w:t>Moreover,</w:t>
      </w:r>
      <w:r w:rsidR="006C7C5A" w:rsidRPr="008B59D5">
        <w:rPr>
          <w:rFonts w:cs="Times New Roman"/>
          <w:sz w:val="22"/>
          <w:szCs w:val="22"/>
        </w:rPr>
        <w:t xml:space="preserve"> </w:t>
      </w:r>
      <w:r w:rsidR="00437DA2" w:rsidRPr="008B59D5">
        <w:rPr>
          <w:rFonts w:cs="Times New Roman"/>
          <w:sz w:val="22"/>
          <w:szCs w:val="22"/>
        </w:rPr>
        <w:t>Mohammad et al</w:t>
      </w:r>
      <w:r w:rsidR="008F65A8" w:rsidRPr="008B59D5">
        <w:rPr>
          <w:rFonts w:cs="Times New Roman"/>
          <w:sz w:val="22"/>
          <w:szCs w:val="22"/>
        </w:rPr>
        <w:t>.</w:t>
      </w:r>
      <w:r w:rsidR="00437DA2" w:rsidRPr="008B59D5">
        <w:rPr>
          <w:rFonts w:cs="Times New Roman"/>
          <w:sz w:val="22"/>
          <w:szCs w:val="22"/>
        </w:rPr>
        <w:t xml:space="preserve"> (2016) </w:t>
      </w:r>
      <w:r w:rsidR="003A0445" w:rsidRPr="008B59D5">
        <w:rPr>
          <w:rFonts w:cs="Times New Roman"/>
          <w:sz w:val="22"/>
          <w:szCs w:val="22"/>
        </w:rPr>
        <w:t>found that time restraints, work pressure, unclear instructions, forgetfulness, non-confidential and/or complex reporting systems, peer pressure, fear of losing employment or disciplinary action, and a lack of feedback were factors that prevent</w:t>
      </w:r>
      <w:r w:rsidR="00437DA2" w:rsidRPr="008B59D5">
        <w:rPr>
          <w:rFonts w:cs="Times New Roman"/>
          <w:sz w:val="22"/>
          <w:szCs w:val="22"/>
        </w:rPr>
        <w:t xml:space="preserve">ed healthcare providers from </w:t>
      </w:r>
      <w:r w:rsidR="008F65A8" w:rsidRPr="008B59D5">
        <w:rPr>
          <w:rFonts w:cs="Times New Roman"/>
          <w:sz w:val="22"/>
          <w:szCs w:val="22"/>
        </w:rPr>
        <w:t xml:space="preserve">engaging in </w:t>
      </w:r>
      <w:r w:rsidR="00437DA2" w:rsidRPr="008B59D5">
        <w:rPr>
          <w:rFonts w:cs="Times New Roman"/>
          <w:sz w:val="22"/>
          <w:szCs w:val="22"/>
        </w:rPr>
        <w:t>OVR</w:t>
      </w:r>
      <w:r w:rsidR="003A0445" w:rsidRPr="008B59D5">
        <w:rPr>
          <w:rFonts w:cs="Times New Roman"/>
          <w:sz w:val="22"/>
          <w:szCs w:val="22"/>
        </w:rPr>
        <w:t xml:space="preserve"> </w:t>
      </w:r>
      <w:r w:rsidR="00437DA2" w:rsidRPr="008B59D5">
        <w:rPr>
          <w:rFonts w:cs="Times New Roman"/>
          <w:sz w:val="22"/>
          <w:szCs w:val="22"/>
        </w:rPr>
        <w:fldChar w:fldCharType="begin"/>
      </w:r>
      <w:r w:rsidR="007F2092" w:rsidRPr="008B59D5">
        <w:rPr>
          <w:rFonts w:cs="Times New Roman"/>
          <w:sz w:val="22"/>
          <w:szCs w:val="22"/>
        </w:rPr>
        <w:instrText xml:space="preserve"> ADDIN EN.CITE &lt;EndNote&gt;&lt;Cite&gt;&lt;Author&gt;Mohammad&lt;/Author&gt;&lt;Year&gt;2016&lt;/Year&gt;&lt;RecNum&gt;136&lt;/RecNum&gt;&lt;DisplayText&gt;(19)&lt;/DisplayText&gt;&lt;record&gt;&lt;rec-number&gt;136&lt;/rec-number&gt;&lt;foreign-keys&gt;&lt;key app="EN" db-id="atd5wdxd65z0fqe520up2zer9v5w20swx5az" timestamp="1723188220"&gt;136&lt;/key&gt;&lt;/foreign-keys&gt;&lt;ref-type name="Journal Article"&gt;17&lt;/ref-type&gt;&lt;contributors&gt;&lt;authors&gt;&lt;author&gt;Mohammad, Ala’&lt;/author&gt;&lt;author&gt;Aljasser, Ibrahim&lt;/author&gt;&lt;author&gt;Sasidhar, Bokkasam&lt;/author&gt;&lt;/authors&gt;&lt;/contributors&gt;&lt;titles&gt;&lt;title&gt;Barriers to reporting medication administration errors among nurses in an accredited hospital in Saudi Arabia&lt;/title&gt;&lt;secondary-title&gt;British Journal of Economics, Management &amp;amp; Trade&lt;/secondary-title&gt;&lt;/titles&gt;&lt;periodical&gt;&lt;full-title&gt;British Journal of Economics, Management &amp;amp; Trade&lt;/full-title&gt;&lt;/periodical&gt;&lt;pages&gt;1-13&lt;/pages&gt;&lt;volume&gt;11&lt;/volume&gt;&lt;number&gt;4&lt;/number&gt;&lt;dates&gt;&lt;year&gt;2016&lt;/year&gt;&lt;/dates&gt;&lt;isbn&gt;2278-098X&lt;/isbn&gt;&lt;urls&gt;&lt;/urls&gt;&lt;/record&gt;&lt;/Cite&gt;&lt;/EndNote&gt;</w:instrText>
      </w:r>
      <w:r w:rsidR="00437DA2" w:rsidRPr="008B59D5">
        <w:rPr>
          <w:rFonts w:cs="Times New Roman"/>
          <w:sz w:val="22"/>
          <w:szCs w:val="22"/>
        </w:rPr>
        <w:fldChar w:fldCharType="separate"/>
      </w:r>
      <w:r w:rsidR="007F2092" w:rsidRPr="008B59D5">
        <w:rPr>
          <w:rFonts w:cs="Times New Roman"/>
          <w:noProof/>
          <w:sz w:val="22"/>
          <w:szCs w:val="22"/>
        </w:rPr>
        <w:t>(19)</w:t>
      </w:r>
      <w:r w:rsidR="00437DA2" w:rsidRPr="008B59D5">
        <w:rPr>
          <w:rFonts w:cs="Times New Roman"/>
          <w:sz w:val="22"/>
          <w:szCs w:val="22"/>
        </w:rPr>
        <w:fldChar w:fldCharType="end"/>
      </w:r>
      <w:r w:rsidR="003A0445" w:rsidRPr="008B59D5">
        <w:rPr>
          <w:rFonts w:cs="Times New Roman"/>
          <w:sz w:val="22"/>
          <w:szCs w:val="22"/>
        </w:rPr>
        <w:t>.</w:t>
      </w:r>
      <w:r w:rsidR="00437DA2" w:rsidRPr="008B59D5">
        <w:rPr>
          <w:rFonts w:cs="Times New Roman"/>
          <w:sz w:val="22"/>
          <w:szCs w:val="22"/>
        </w:rPr>
        <w:t xml:space="preserve"> </w:t>
      </w:r>
    </w:p>
    <w:p w14:paraId="292E1DD6" w14:textId="35211FD8" w:rsidR="0046024D" w:rsidRPr="008B59D5" w:rsidRDefault="00D96E72" w:rsidP="008B59D5">
      <w:pPr>
        <w:spacing w:line="240" w:lineRule="auto"/>
        <w:rPr>
          <w:rFonts w:cs="Times New Roman"/>
          <w:sz w:val="22"/>
          <w:szCs w:val="22"/>
        </w:rPr>
      </w:pPr>
      <w:r w:rsidRPr="008B59D5">
        <w:rPr>
          <w:rFonts w:cs="Times New Roman"/>
          <w:sz w:val="22"/>
          <w:szCs w:val="22"/>
        </w:rPr>
        <w:t xml:space="preserve">According to Al-zain and </w:t>
      </w:r>
      <w:proofErr w:type="spellStart"/>
      <w:r w:rsidRPr="008B59D5">
        <w:rPr>
          <w:rFonts w:cs="Times New Roman"/>
          <w:sz w:val="22"/>
          <w:szCs w:val="22"/>
        </w:rPr>
        <w:t>Althumairi</w:t>
      </w:r>
      <w:proofErr w:type="spellEnd"/>
      <w:r w:rsidRPr="008B59D5">
        <w:rPr>
          <w:rFonts w:cs="Times New Roman"/>
          <w:sz w:val="22"/>
          <w:szCs w:val="22"/>
        </w:rPr>
        <w:t xml:space="preserve"> (2021), u</w:t>
      </w:r>
      <w:r w:rsidR="00437DA2" w:rsidRPr="008B59D5">
        <w:rPr>
          <w:rFonts w:cs="Times New Roman"/>
          <w:sz w:val="22"/>
          <w:szCs w:val="22"/>
        </w:rPr>
        <w:t xml:space="preserve">nderstanding these barriers might help in developing effective strategies to address these reporting problems </w:t>
      </w:r>
      <w:r w:rsidRPr="008B59D5">
        <w:rPr>
          <w:rFonts w:cs="Times New Roman"/>
          <w:sz w:val="22"/>
          <w:szCs w:val="22"/>
        </w:rPr>
        <w:fldChar w:fldCharType="begin"/>
      </w:r>
      <w:r w:rsidR="007F2092" w:rsidRPr="008B59D5">
        <w:rPr>
          <w:rFonts w:cs="Times New Roman"/>
          <w:sz w:val="22"/>
          <w:szCs w:val="22"/>
        </w:rPr>
        <w:instrText xml:space="preserve"> ADDIN EN.CITE &lt;EndNote&gt;&lt;Cite&gt;&lt;Author&gt;Al-Zain&lt;/Author&gt;&lt;Year&gt;2021&lt;/Year&gt;&lt;RecNum&gt;137&lt;/RecNum&gt;&lt;DisplayText&gt;(20)&lt;/DisplayText&gt;&lt;record&gt;&lt;rec-number&gt;137&lt;/rec-number&gt;&lt;foreign-keys&gt;&lt;key app="EN" db-id="atd5wdxd65z0fqe520up2zer9v5w20swx5az" timestamp="1723188818"&gt;137&lt;/key&gt;&lt;/foreign-keys&gt;&lt;ref-type name="Journal Article"&gt;17&lt;/ref-type&gt;&lt;contributors&gt;&lt;authors&gt;&lt;author&gt;Al-Zain, Zainab&lt;/author&gt;&lt;author&gt;Althumairi, Arwa&lt;/author&gt;&lt;/authors&gt;&lt;/contributors&gt;&lt;titles&gt;&lt;title&gt;Awareness, attitudes, practices, and perceived barriers to medical error incident reporting among faculty and health care practitioners (HCPs) in a dental clinic&lt;/title&gt;&lt;secondary-title&gt;Journal of Multidisciplinary Healthcare&lt;/secondary-title&gt;&lt;/titles&gt;&lt;periodical&gt;&lt;full-title&gt;Journal of Multidisciplinary Healthcare&lt;/full-title&gt;&lt;/periodical&gt;&lt;pages&gt;735-741&lt;/pages&gt;&lt;dates&gt;&lt;year&gt;2021&lt;/year&gt;&lt;/dates&gt;&lt;isbn&gt;1178-2390&lt;/isbn&gt;&lt;urls&gt;&lt;/urls&gt;&lt;/record&gt;&lt;/Cite&gt;&lt;/EndNote&gt;</w:instrText>
      </w:r>
      <w:r w:rsidRPr="008B59D5">
        <w:rPr>
          <w:rFonts w:cs="Times New Roman"/>
          <w:sz w:val="22"/>
          <w:szCs w:val="22"/>
        </w:rPr>
        <w:fldChar w:fldCharType="separate"/>
      </w:r>
      <w:r w:rsidR="007F2092" w:rsidRPr="008B59D5">
        <w:rPr>
          <w:rFonts w:cs="Times New Roman"/>
          <w:noProof/>
          <w:sz w:val="22"/>
          <w:szCs w:val="22"/>
        </w:rPr>
        <w:t>(20)</w:t>
      </w:r>
      <w:r w:rsidRPr="008B59D5">
        <w:rPr>
          <w:rFonts w:cs="Times New Roman"/>
          <w:sz w:val="22"/>
          <w:szCs w:val="22"/>
        </w:rPr>
        <w:fldChar w:fldCharType="end"/>
      </w:r>
      <w:r w:rsidRPr="008B59D5">
        <w:rPr>
          <w:rFonts w:cs="Times New Roman"/>
          <w:sz w:val="22"/>
          <w:szCs w:val="22"/>
        </w:rPr>
        <w:t xml:space="preserve">. </w:t>
      </w:r>
      <w:r w:rsidR="006C7C5A" w:rsidRPr="008B59D5">
        <w:rPr>
          <w:rFonts w:cs="Times New Roman"/>
          <w:sz w:val="22"/>
          <w:szCs w:val="22"/>
        </w:rPr>
        <w:t xml:space="preserve">According to Poku et al. (2024), interventions to improve adverse event reporting in the emergency department include enhancing reporting rates, identifying </w:t>
      </w:r>
      <w:r w:rsidR="007D5779" w:rsidRPr="008B59D5">
        <w:rPr>
          <w:rFonts w:cs="Times New Roman"/>
          <w:sz w:val="22"/>
          <w:szCs w:val="22"/>
        </w:rPr>
        <w:t>areas</w:t>
      </w:r>
      <w:r w:rsidR="006C7C5A" w:rsidRPr="008B59D5">
        <w:rPr>
          <w:rFonts w:cs="Times New Roman"/>
          <w:sz w:val="22"/>
          <w:szCs w:val="22"/>
        </w:rPr>
        <w:t xml:space="preserve"> </w:t>
      </w:r>
      <w:r w:rsidR="007D5779" w:rsidRPr="008B59D5">
        <w:rPr>
          <w:rFonts w:cs="Times New Roman"/>
          <w:sz w:val="22"/>
          <w:szCs w:val="22"/>
        </w:rPr>
        <w:t>for improvement</w:t>
      </w:r>
      <w:r w:rsidR="006C7C5A" w:rsidRPr="008B59D5">
        <w:rPr>
          <w:rFonts w:cs="Times New Roman"/>
          <w:sz w:val="22"/>
          <w:szCs w:val="22"/>
        </w:rPr>
        <w:t xml:space="preserve">, and incorporating new approaches </w:t>
      </w:r>
      <w:r w:rsidR="006C7C5A" w:rsidRPr="008B59D5">
        <w:rPr>
          <w:rFonts w:cs="Times New Roman"/>
          <w:sz w:val="22"/>
          <w:szCs w:val="22"/>
        </w:rPr>
        <w:fldChar w:fldCharType="begin"/>
      </w:r>
      <w:r w:rsidR="007F2092" w:rsidRPr="008B59D5">
        <w:rPr>
          <w:rFonts w:cs="Times New Roman"/>
          <w:sz w:val="22"/>
          <w:szCs w:val="22"/>
        </w:rPr>
        <w:instrText xml:space="preserve"> ADDIN EN.CITE &lt;EndNote&gt;&lt;Cite&gt;&lt;Author&gt;Poku&lt;/Author&gt;&lt;Year&gt;2024&lt;/Year&gt;&lt;RecNum&gt;5&lt;/RecNum&gt;&lt;DisplayText&gt;(21)&lt;/DisplayText&gt;&lt;record&gt;&lt;rec-number&gt;5&lt;/rec-number&gt;&lt;foreign-keys&gt;&lt;key app="EN" db-id="r0we05v99p5de0eaertxvtpjexfvdf9dfxff" timestamp="1734935218"&gt;5&lt;/key&gt;&lt;/foreign-keys&gt;&lt;ref-type name="Journal Article"&gt;17&lt;/ref-type&gt;&lt;contributors&gt;&lt;authors&gt;&lt;author&gt;Poku, Collins Atta&lt;/author&gt;&lt;author&gt;Bayuo, Jonathan&lt;/author&gt;&lt;author&gt;Kwashie, Atswei Adzo&lt;/author&gt;&lt;author&gt;Ofei, Adelaide Maria Ansah&lt;/author&gt;&lt;/authors&gt;&lt;/contributors&gt;&lt;titles&gt;&lt;title&gt;Intervention to improve adverse event reporting in the emergency department: Protocol of a systematic review and meta-analysis&lt;/title&gt;&lt;secondary-title&gt;Plos one&lt;/secondary-title&gt;&lt;/titles&gt;&lt;periodical&gt;&lt;full-title&gt;Plos one&lt;/full-title&gt;&lt;/periodical&gt;&lt;pages&gt;e0306885&lt;/pages&gt;&lt;volume&gt;19&lt;/volume&gt;&lt;number&gt;8&lt;/number&gt;&lt;dates&gt;&lt;year&gt;2024&lt;/year&gt;&lt;/dates&gt;&lt;isbn&gt;1932-6203&lt;/isbn&gt;&lt;urls&gt;&lt;/urls&gt;&lt;/record&gt;&lt;/Cite&gt;&lt;/EndNote&gt;</w:instrText>
      </w:r>
      <w:r w:rsidR="006C7C5A" w:rsidRPr="008B59D5">
        <w:rPr>
          <w:rFonts w:cs="Times New Roman"/>
          <w:sz w:val="22"/>
          <w:szCs w:val="22"/>
        </w:rPr>
        <w:fldChar w:fldCharType="separate"/>
      </w:r>
      <w:r w:rsidR="007F2092" w:rsidRPr="008B59D5">
        <w:rPr>
          <w:rFonts w:cs="Times New Roman"/>
          <w:noProof/>
          <w:sz w:val="22"/>
          <w:szCs w:val="22"/>
        </w:rPr>
        <w:t>(21)</w:t>
      </w:r>
      <w:r w:rsidR="006C7C5A" w:rsidRPr="008B59D5">
        <w:rPr>
          <w:rFonts w:cs="Times New Roman"/>
          <w:sz w:val="22"/>
          <w:szCs w:val="22"/>
        </w:rPr>
        <w:fldChar w:fldCharType="end"/>
      </w:r>
      <w:r w:rsidR="006C7C5A" w:rsidRPr="008B59D5">
        <w:rPr>
          <w:rFonts w:cs="Times New Roman"/>
          <w:sz w:val="22"/>
          <w:szCs w:val="22"/>
        </w:rPr>
        <w:t>. Moreover,</w:t>
      </w:r>
      <w:r w:rsidRPr="008B59D5">
        <w:rPr>
          <w:rFonts w:cs="Times New Roman"/>
          <w:sz w:val="22"/>
          <w:szCs w:val="22"/>
        </w:rPr>
        <w:t xml:space="preserve"> an electronic reporting system might improve practices among the healthcare providers. Albarrak et </w:t>
      </w:r>
      <w:r w:rsidR="008F65A8" w:rsidRPr="008B59D5">
        <w:rPr>
          <w:rFonts w:cs="Times New Roman"/>
          <w:sz w:val="22"/>
          <w:szCs w:val="22"/>
        </w:rPr>
        <w:t>al. (2020) found that 80% of participants considered computer-based reporting more accessible than traditional paper methods, underscoring</w:t>
      </w:r>
      <w:r w:rsidRPr="008B59D5">
        <w:rPr>
          <w:rFonts w:cs="Times New Roman"/>
          <w:sz w:val="22"/>
          <w:szCs w:val="22"/>
        </w:rPr>
        <w:t xml:space="preserve"> the potential benefits of modern reporting systems </w:t>
      </w:r>
      <w:r w:rsidRPr="008B59D5">
        <w:rPr>
          <w:rFonts w:cs="Times New Roman"/>
          <w:sz w:val="22"/>
          <w:szCs w:val="22"/>
        </w:rPr>
        <w:fldChar w:fldCharType="begin"/>
      </w:r>
      <w:r w:rsidR="007F2092" w:rsidRPr="008B59D5">
        <w:rPr>
          <w:rFonts w:cs="Times New Roman"/>
          <w:sz w:val="22"/>
          <w:szCs w:val="22"/>
        </w:rPr>
        <w:instrText xml:space="preserve"> ADDIN EN.CITE &lt;EndNote&gt;&lt;Cite&gt;&lt;Author&gt;Albarrak&lt;/Author&gt;&lt;Year&gt;2020&lt;/Year&gt;&lt;RecNum&gt;135&lt;/RecNum&gt;&lt;DisplayText&gt;(9)&lt;/DisplayText&gt;&lt;record&gt;&lt;rec-number&gt;135&lt;/rec-number&gt;&lt;foreign-keys&gt;&lt;key app="EN" db-id="atd5wdxd65z0fqe520up2zer9v5w20swx5az" timestamp="1723188015"&gt;135&lt;/key&gt;&lt;/foreign-keys&gt;&lt;ref-type name="Journal Article"&gt;17&lt;/ref-type&gt;&lt;contributors&gt;&lt;authors&gt;&lt;author&gt;Albarrak, Ahmed I&lt;/author&gt;&lt;author&gt;Almansour, Ammar S&lt;/author&gt;&lt;author&gt;Alzahrani, Ali A&lt;/author&gt;&lt;author&gt;Almalki, Abdulaziz H&lt;/author&gt;&lt;author&gt;Alshehri, Abdulrahman A&lt;/author&gt;&lt;author&gt;Mohammed, Rafiuddin&lt;/author&gt;&lt;/authors&gt;&lt;/contributors&gt;&lt;titles&gt;&lt;title&gt;Assessment of patient safety challenges and electronic occurrence variance reporting (e-OVR) barriers facing physicians and nurses in the emergency department: a cross sectional study&lt;/title&gt;&lt;secondary-title&gt;BMC emergency medicine&lt;/secondary-title&gt;&lt;/titles&gt;&lt;periodical&gt;&lt;full-title&gt;BMC emergency medicine&lt;/full-title&gt;&lt;/periodical&gt;&lt;pages&gt;1-8&lt;/pages&gt;&lt;volume&gt;20&lt;/volume&gt;&lt;dates&gt;&lt;year&gt;2020&lt;/year&gt;&lt;/dates&gt;&lt;urls&gt;&lt;/urls&gt;&lt;/record&gt;&lt;/Cite&gt;&lt;/EndNote&gt;</w:instrText>
      </w:r>
      <w:r w:rsidRPr="008B59D5">
        <w:rPr>
          <w:rFonts w:cs="Times New Roman"/>
          <w:sz w:val="22"/>
          <w:szCs w:val="22"/>
        </w:rPr>
        <w:fldChar w:fldCharType="separate"/>
      </w:r>
      <w:r w:rsidR="007F2092" w:rsidRPr="008B59D5">
        <w:rPr>
          <w:rFonts w:cs="Times New Roman"/>
          <w:noProof/>
          <w:sz w:val="22"/>
          <w:szCs w:val="22"/>
        </w:rPr>
        <w:t>(9)</w:t>
      </w:r>
      <w:r w:rsidRPr="008B59D5">
        <w:rPr>
          <w:rFonts w:cs="Times New Roman"/>
          <w:sz w:val="22"/>
          <w:szCs w:val="22"/>
        </w:rPr>
        <w:fldChar w:fldCharType="end"/>
      </w:r>
      <w:r w:rsidRPr="008B59D5">
        <w:rPr>
          <w:rFonts w:cs="Times New Roman"/>
          <w:sz w:val="22"/>
          <w:szCs w:val="22"/>
        </w:rPr>
        <w:t>.</w:t>
      </w:r>
      <w:r w:rsidR="0046024D" w:rsidRPr="008B59D5">
        <w:rPr>
          <w:rFonts w:cs="Times New Roman"/>
          <w:sz w:val="22"/>
          <w:szCs w:val="22"/>
        </w:rPr>
        <w:t xml:space="preserve"> </w:t>
      </w:r>
    </w:p>
    <w:p w14:paraId="693B6D76" w14:textId="23BFEFD1" w:rsidR="0046024D" w:rsidRPr="008B59D5" w:rsidRDefault="0046024D" w:rsidP="008B59D5">
      <w:pPr>
        <w:spacing w:line="240" w:lineRule="auto"/>
        <w:rPr>
          <w:rFonts w:cs="Times New Roman"/>
          <w:sz w:val="22"/>
          <w:szCs w:val="22"/>
        </w:rPr>
      </w:pPr>
      <w:r w:rsidRPr="008B59D5">
        <w:rPr>
          <w:rFonts w:cs="Times New Roman"/>
          <w:sz w:val="22"/>
          <w:szCs w:val="22"/>
        </w:rPr>
        <w:t xml:space="preserve">However, </w:t>
      </w:r>
      <w:proofErr w:type="spellStart"/>
      <w:r w:rsidRPr="008B59D5">
        <w:rPr>
          <w:rFonts w:cs="Times New Roman"/>
          <w:sz w:val="22"/>
          <w:szCs w:val="22"/>
        </w:rPr>
        <w:t>Brondial</w:t>
      </w:r>
      <w:proofErr w:type="spellEnd"/>
      <w:r w:rsidRPr="008B59D5">
        <w:rPr>
          <w:rFonts w:cs="Times New Roman"/>
          <w:sz w:val="22"/>
          <w:szCs w:val="22"/>
        </w:rPr>
        <w:t xml:space="preserve"> et al</w:t>
      </w:r>
      <w:r w:rsidR="007D5779" w:rsidRPr="008B59D5">
        <w:rPr>
          <w:rFonts w:cs="Times New Roman"/>
          <w:sz w:val="22"/>
          <w:szCs w:val="22"/>
        </w:rPr>
        <w:t>.</w:t>
      </w:r>
      <w:r w:rsidRPr="008B59D5">
        <w:rPr>
          <w:rFonts w:cs="Times New Roman"/>
          <w:sz w:val="22"/>
          <w:szCs w:val="22"/>
        </w:rPr>
        <w:t xml:space="preserve"> (2019) </w:t>
      </w:r>
      <w:r w:rsidR="00206BAE" w:rsidRPr="008B59D5">
        <w:rPr>
          <w:rFonts w:cs="Times New Roman"/>
          <w:sz w:val="22"/>
          <w:szCs w:val="22"/>
        </w:rPr>
        <w:t xml:space="preserve">and Elsayed et al. (2023) </w:t>
      </w:r>
      <w:r w:rsidRPr="008B59D5">
        <w:rPr>
          <w:rFonts w:cs="Times New Roman"/>
          <w:sz w:val="22"/>
          <w:szCs w:val="22"/>
        </w:rPr>
        <w:t>suggested that a</w:t>
      </w:r>
      <w:r w:rsidR="003A0445" w:rsidRPr="008B59D5">
        <w:rPr>
          <w:rFonts w:cs="Times New Roman"/>
          <w:sz w:val="22"/>
          <w:szCs w:val="22"/>
        </w:rPr>
        <w:t xml:space="preserve"> well-designed e-OVR system </w:t>
      </w:r>
      <w:r w:rsidRPr="008B59D5">
        <w:rPr>
          <w:rFonts w:cs="Times New Roman"/>
          <w:sz w:val="22"/>
          <w:szCs w:val="22"/>
        </w:rPr>
        <w:t>significantly improves</w:t>
      </w:r>
      <w:r w:rsidR="003A0445" w:rsidRPr="008B59D5">
        <w:rPr>
          <w:rFonts w:cs="Times New Roman"/>
          <w:sz w:val="22"/>
          <w:szCs w:val="22"/>
        </w:rPr>
        <w:t xml:space="preserve"> the efficacy and efficiency of any healthcare risk management system, </w:t>
      </w:r>
      <w:r w:rsidR="007D5779" w:rsidRPr="008B59D5">
        <w:rPr>
          <w:rFonts w:cs="Times New Roman"/>
          <w:sz w:val="22"/>
          <w:szCs w:val="22"/>
        </w:rPr>
        <w:t>provided that</w:t>
      </w:r>
      <w:r w:rsidRPr="008B59D5">
        <w:rPr>
          <w:rFonts w:cs="Times New Roman"/>
          <w:sz w:val="22"/>
          <w:szCs w:val="22"/>
        </w:rPr>
        <w:t xml:space="preserve"> healthcare organizations ensure all practitioners are aware of reporting procedures and incidence variations </w:t>
      </w:r>
      <w:r w:rsidRPr="008B59D5">
        <w:rPr>
          <w:rFonts w:cs="Times New Roman"/>
          <w:sz w:val="22"/>
          <w:szCs w:val="22"/>
        </w:rPr>
        <w:fldChar w:fldCharType="begin"/>
      </w:r>
      <w:r w:rsidR="007F2092" w:rsidRPr="008B59D5">
        <w:rPr>
          <w:rFonts w:cs="Times New Roman"/>
          <w:sz w:val="22"/>
          <w:szCs w:val="22"/>
        </w:rPr>
        <w:instrText xml:space="preserve"> ADDIN EN.CITE &lt;EndNote&gt;&lt;Cite&gt;&lt;Author&gt;Brondial&lt;/Author&gt;&lt;Year&gt;2019&lt;/Year&gt;&lt;RecNum&gt;138&lt;/RecNum&gt;&lt;DisplayText&gt;(22, 23)&lt;/DisplayText&gt;&lt;record&gt;&lt;rec-number&gt;138&lt;/rec-number&gt;&lt;foreign-keys&gt;&lt;key app="EN" db-id="atd5wdxd65z0fqe520up2zer9v5w20swx5az" timestamp="1723189553"&gt;138&lt;/key&gt;&lt;/foreign-keys&gt;&lt;ref-type name="Generic"&gt;13&lt;/ref-type&gt;&lt;contributors&gt;&lt;authors&gt;&lt;author&gt;Brondial, Suzette&lt;/author&gt;&lt;author&gt;Alhasani, Abdulrahman&lt;/author&gt;&lt;author&gt;Elfaiomy, Mohamed Adel&lt;/author&gt;&lt;author&gt;Radwan, Mahmoud Abdelfattah&lt;/author&gt;&lt;/authors&gt;&lt;/contributors&gt;&lt;titles&gt;&lt;title&gt;56 Electronic occurrence variance reports (eOVR) management system&lt;/title&gt;&lt;/titles&gt;&lt;dates&gt;&lt;year&gt;2019&lt;/year&gt;&lt;/dates&gt;&lt;publisher&gt;British Medical Journal Publishing Group&lt;/publisher&gt;&lt;isbn&gt;2399-6641&lt;/isbn&gt;&lt;urls&gt;&lt;/urls&gt;&lt;/record&gt;&lt;/Cite&gt;&lt;Cite&gt;&lt;Author&gt;Elsayed&lt;/Author&gt;&lt;Year&gt;2023&lt;/Year&gt;&lt;RecNum&gt;6&lt;/RecNum&gt;&lt;record&gt;&lt;rec-number&gt;6&lt;/rec-number&gt;&lt;foreign-keys&gt;&lt;key app="EN" db-id="r0we05v99p5de0eaertxvtpjexfvdf9dfxff" timestamp="1734935492"&gt;6&lt;/key&gt;&lt;/foreign-keys&gt;&lt;ref-type name="Journal Article"&gt;17&lt;/ref-type&gt;&lt;contributors&gt;&lt;authors&gt;&lt;author&gt;Elsayed, Mohamed Makram&lt;/author&gt;&lt;author&gt;Makram, Abdelrahman M&lt;/author&gt;&lt;author&gt;Alresheedi, Ahmad Awadh&lt;/author&gt;&lt;author&gt;Makram, Omar Mohamed&lt;/author&gt;&lt;/authors&gt;&lt;/contributors&gt;&lt;titles&gt;&lt;title&gt;Electronic occurrence variance reporting system: A reliable multi-platform system for the low-income settings&lt;/title&gt;&lt;secondary-title&gt;Health Policy and Technology&lt;/secondary-title&gt;&lt;/titles&gt;&lt;periodical&gt;&lt;full-title&gt;Health Policy and Technology&lt;/full-title&gt;&lt;/periodical&gt;&lt;pages&gt;100720&lt;/pages&gt;&lt;volume&gt;12&lt;/volume&gt;&lt;number&gt;1&lt;/number&gt;&lt;dates&gt;&lt;year&gt;2023&lt;/year&gt;&lt;/dates&gt;&lt;isbn&gt;2211-8837&lt;/isbn&gt;&lt;urls&gt;&lt;/urls&gt;&lt;/record&gt;&lt;/Cite&gt;&lt;/EndNote&gt;</w:instrText>
      </w:r>
      <w:r w:rsidRPr="008B59D5">
        <w:rPr>
          <w:rFonts w:cs="Times New Roman"/>
          <w:sz w:val="22"/>
          <w:szCs w:val="22"/>
        </w:rPr>
        <w:fldChar w:fldCharType="separate"/>
      </w:r>
      <w:r w:rsidR="007F2092" w:rsidRPr="008B59D5">
        <w:rPr>
          <w:rFonts w:cs="Times New Roman"/>
          <w:noProof/>
          <w:sz w:val="22"/>
          <w:szCs w:val="22"/>
        </w:rPr>
        <w:t>(22, 23)</w:t>
      </w:r>
      <w:r w:rsidRPr="008B59D5">
        <w:rPr>
          <w:rFonts w:cs="Times New Roman"/>
          <w:sz w:val="22"/>
          <w:szCs w:val="22"/>
        </w:rPr>
        <w:fldChar w:fldCharType="end"/>
      </w:r>
      <w:r w:rsidRPr="008B59D5">
        <w:rPr>
          <w:rFonts w:cs="Times New Roman"/>
          <w:sz w:val="22"/>
          <w:szCs w:val="22"/>
        </w:rPr>
        <w:t>. The lack of clear policies, excessive workload, and reports with insufficient feedback might negatively impact the perception of OVR</w:t>
      </w:r>
      <w:r w:rsidR="00B136CF" w:rsidRPr="008B59D5">
        <w:rPr>
          <w:rFonts w:cs="Times New Roman"/>
          <w:sz w:val="22"/>
          <w:szCs w:val="22"/>
        </w:rPr>
        <w:t xml:space="preserve"> </w:t>
      </w:r>
      <w:r w:rsidR="00B136CF" w:rsidRPr="008B59D5">
        <w:rPr>
          <w:rFonts w:cs="Times New Roman"/>
          <w:sz w:val="22"/>
          <w:szCs w:val="22"/>
        </w:rPr>
        <w:fldChar w:fldCharType="begin"/>
      </w:r>
      <w:r w:rsidR="007F2092" w:rsidRPr="008B59D5">
        <w:rPr>
          <w:rFonts w:cs="Times New Roman"/>
          <w:sz w:val="22"/>
          <w:szCs w:val="22"/>
        </w:rPr>
        <w:instrText xml:space="preserve"> ADDIN EN.CITE &lt;EndNote&gt;&lt;Cite&gt;&lt;Author&gt;Elashmawy&lt;/Author&gt;&lt;Year&gt;2020&lt;/Year&gt;&lt;RecNum&gt;70&lt;/RecNum&gt;&lt;DisplayText&gt;(24)&lt;/DisplayText&gt;&lt;record&gt;&lt;rec-number&gt;70&lt;/rec-number&gt;&lt;foreign-keys&gt;&lt;key app="EN" db-id="atd5wdxd65z0fqe520up2zer9v5w20swx5az" timestamp="1721642307"&gt;70&lt;/key&gt;&lt;/foreign-keys&gt;&lt;ref-type name="Journal Article"&gt;17&lt;/ref-type&gt;&lt;contributors&gt;&lt;authors&gt;&lt;author&gt;Elashmawy, Mohamed&lt;/author&gt;&lt;/authors&gt;&lt;/contributors&gt;&lt;titles&gt;&lt;title&gt;Improving the performance of a parabolic concentrator solar tracking-tubular solar still (PCST-TSS) using gravel as a sensible heat storage material&lt;/title&gt;&lt;secondary-title&gt;Desalination&lt;/secondary-title&gt;&lt;/titles&gt;&lt;periodical&gt;&lt;full-title&gt;Desalination&lt;/full-title&gt;&lt;/periodical&gt;&lt;pages&gt;114182&lt;/pages&gt;&lt;volume&gt;473&lt;/volume&gt;&lt;dates&gt;&lt;year&gt;2020&lt;/year&gt;&lt;/dates&gt;&lt;isbn&gt;0011-9164&lt;/isbn&gt;&lt;urls&gt;&lt;/urls&gt;&lt;/record&gt;&lt;/Cite&gt;&lt;/EndNote&gt;</w:instrText>
      </w:r>
      <w:r w:rsidR="00B136CF" w:rsidRPr="008B59D5">
        <w:rPr>
          <w:rFonts w:cs="Times New Roman"/>
          <w:sz w:val="22"/>
          <w:szCs w:val="22"/>
        </w:rPr>
        <w:fldChar w:fldCharType="separate"/>
      </w:r>
      <w:r w:rsidR="007F2092" w:rsidRPr="008B59D5">
        <w:rPr>
          <w:rFonts w:cs="Times New Roman"/>
          <w:noProof/>
          <w:sz w:val="22"/>
          <w:szCs w:val="22"/>
        </w:rPr>
        <w:t>(24)</w:t>
      </w:r>
      <w:r w:rsidR="00B136CF" w:rsidRPr="008B59D5">
        <w:rPr>
          <w:rFonts w:cs="Times New Roman"/>
          <w:sz w:val="22"/>
          <w:szCs w:val="22"/>
        </w:rPr>
        <w:fldChar w:fldCharType="end"/>
      </w:r>
      <w:r w:rsidRPr="008B59D5">
        <w:rPr>
          <w:rFonts w:cs="Times New Roman"/>
          <w:sz w:val="22"/>
          <w:szCs w:val="22"/>
        </w:rPr>
        <w:t>.</w:t>
      </w:r>
    </w:p>
    <w:p w14:paraId="27E33617" w14:textId="2586A959" w:rsidR="009D75BD" w:rsidRPr="008B59D5" w:rsidRDefault="0046024D" w:rsidP="008B59D5">
      <w:pPr>
        <w:spacing w:line="240" w:lineRule="auto"/>
        <w:rPr>
          <w:rFonts w:cs="Times New Roman"/>
          <w:sz w:val="22"/>
          <w:szCs w:val="22"/>
        </w:rPr>
      </w:pPr>
      <w:r w:rsidRPr="008B59D5">
        <w:rPr>
          <w:rFonts w:cs="Times New Roman"/>
          <w:sz w:val="22"/>
          <w:szCs w:val="22"/>
        </w:rPr>
        <w:t>In this study</w:t>
      </w:r>
      <w:r w:rsidR="003A0445" w:rsidRPr="008B59D5">
        <w:rPr>
          <w:rFonts w:cs="Times New Roman"/>
          <w:sz w:val="22"/>
          <w:szCs w:val="22"/>
        </w:rPr>
        <w:t>,</w:t>
      </w:r>
      <w:r w:rsidR="00B136CF" w:rsidRPr="008B59D5">
        <w:rPr>
          <w:rFonts w:cs="Times New Roman"/>
          <w:sz w:val="22"/>
          <w:szCs w:val="22"/>
        </w:rPr>
        <w:t xml:space="preserve"> 7 out of 10 hospitals</w:t>
      </w:r>
      <w:r w:rsidR="003A0445" w:rsidRPr="008B59D5">
        <w:rPr>
          <w:rFonts w:cs="Times New Roman"/>
          <w:sz w:val="22"/>
          <w:szCs w:val="22"/>
        </w:rPr>
        <w:t xml:space="preserve"> were accredited by the Saudi Central Board for Accreditation of Healthcare Institutions, </w:t>
      </w:r>
      <w:r w:rsidR="00B136CF" w:rsidRPr="008B59D5">
        <w:rPr>
          <w:rFonts w:cs="Times New Roman"/>
          <w:sz w:val="22"/>
          <w:szCs w:val="22"/>
        </w:rPr>
        <w:t>while</w:t>
      </w:r>
      <w:r w:rsidR="003A0445" w:rsidRPr="008B59D5">
        <w:rPr>
          <w:rFonts w:cs="Times New Roman"/>
          <w:sz w:val="22"/>
          <w:szCs w:val="22"/>
        </w:rPr>
        <w:t xml:space="preserve"> three were not. </w:t>
      </w:r>
      <w:r w:rsidR="00B136CF" w:rsidRPr="008B59D5">
        <w:rPr>
          <w:rFonts w:cs="Times New Roman"/>
          <w:sz w:val="22"/>
          <w:szCs w:val="22"/>
        </w:rPr>
        <w:t>Accreditation status influenced staff awareness of overall visit reports.</w:t>
      </w:r>
      <w:r w:rsidR="003A0445" w:rsidRPr="008B59D5">
        <w:rPr>
          <w:rFonts w:cs="Times New Roman"/>
          <w:sz w:val="22"/>
          <w:szCs w:val="22"/>
        </w:rPr>
        <w:t xml:space="preserve"> For </w:t>
      </w:r>
      <w:r w:rsidR="00B136CF" w:rsidRPr="008B59D5">
        <w:rPr>
          <w:rFonts w:cs="Times New Roman"/>
          <w:sz w:val="22"/>
          <w:szCs w:val="22"/>
        </w:rPr>
        <w:t>instance</w:t>
      </w:r>
      <w:r w:rsidR="003A0445" w:rsidRPr="008B59D5">
        <w:rPr>
          <w:rFonts w:cs="Times New Roman"/>
          <w:sz w:val="22"/>
          <w:szCs w:val="22"/>
        </w:rPr>
        <w:t xml:space="preserve">, </w:t>
      </w:r>
      <w:r w:rsidR="00B136CF" w:rsidRPr="008B59D5">
        <w:rPr>
          <w:rFonts w:cs="Times New Roman"/>
          <w:sz w:val="22"/>
          <w:szCs w:val="22"/>
        </w:rPr>
        <w:t xml:space="preserve">a study </w:t>
      </w:r>
      <w:r w:rsidR="003A0445" w:rsidRPr="008B59D5">
        <w:rPr>
          <w:rFonts w:cs="Times New Roman"/>
          <w:sz w:val="22"/>
          <w:szCs w:val="22"/>
        </w:rPr>
        <w:t>in Egypt</w:t>
      </w:r>
      <w:r w:rsidR="00B136CF" w:rsidRPr="008B59D5">
        <w:rPr>
          <w:rFonts w:cs="Times New Roman"/>
          <w:sz w:val="22"/>
          <w:szCs w:val="22"/>
        </w:rPr>
        <w:t xml:space="preserve"> by </w:t>
      </w:r>
      <w:proofErr w:type="spellStart"/>
      <w:r w:rsidR="00B136CF" w:rsidRPr="008B59D5">
        <w:rPr>
          <w:rFonts w:cs="Times New Roman"/>
          <w:sz w:val="22"/>
          <w:szCs w:val="22"/>
        </w:rPr>
        <w:t>Elsehrawy</w:t>
      </w:r>
      <w:proofErr w:type="spellEnd"/>
      <w:r w:rsidR="00B136CF" w:rsidRPr="008B59D5">
        <w:rPr>
          <w:rFonts w:cs="Times New Roman"/>
          <w:sz w:val="22"/>
          <w:szCs w:val="22"/>
        </w:rPr>
        <w:t xml:space="preserve"> et </w:t>
      </w:r>
      <w:r w:rsidR="007D5779" w:rsidRPr="008B59D5">
        <w:rPr>
          <w:rFonts w:cs="Times New Roman"/>
          <w:sz w:val="22"/>
          <w:szCs w:val="22"/>
        </w:rPr>
        <w:t>al. (2023) found that healthcare providers in accredited hospitals had a statistically significantly higher mean awareness of OVR (224.53) compared to those in non-accredited hospitals (153.47), with a p-value of</w:t>
      </w:r>
      <w:r w:rsidR="00B136CF" w:rsidRPr="008B59D5">
        <w:rPr>
          <w:rFonts w:cs="Times New Roman"/>
          <w:sz w:val="22"/>
          <w:szCs w:val="22"/>
        </w:rPr>
        <w:t xml:space="preserve"> &lt; 0.001 </w:t>
      </w:r>
      <w:r w:rsidR="003A0445" w:rsidRPr="008B59D5">
        <w:rPr>
          <w:rFonts w:cs="Times New Roman"/>
          <w:sz w:val="22"/>
          <w:szCs w:val="22"/>
        </w:rPr>
        <w:t xml:space="preserve">(P &lt; 0.001) </w:t>
      </w:r>
      <w:r w:rsidR="00B136CF" w:rsidRPr="008B59D5">
        <w:rPr>
          <w:rFonts w:cs="Times New Roman"/>
          <w:sz w:val="22"/>
          <w:szCs w:val="22"/>
        </w:rPr>
        <w:fldChar w:fldCharType="begin"/>
      </w:r>
      <w:r w:rsidR="007F2092" w:rsidRPr="008B59D5">
        <w:rPr>
          <w:rFonts w:cs="Times New Roman"/>
          <w:sz w:val="22"/>
          <w:szCs w:val="22"/>
        </w:rPr>
        <w:instrText xml:space="preserve"> ADDIN EN.CITE &lt;EndNote&gt;&lt;Cite&gt;&lt;Author&gt;Elsehrawy&lt;/Author&gt;&lt;Year&gt;2023&lt;/Year&gt;&lt;RecNum&gt;140&lt;/RecNum&gt;&lt;DisplayText&gt;(25)&lt;/DisplayText&gt;&lt;record&gt;&lt;rec-number&gt;140&lt;/rec-number&gt;&lt;foreign-keys&gt;&lt;key app="EN" db-id="atd5wdxd65z0fqe520up2zer9v5w20swx5az" timestamp="1723190192"&gt;140&lt;/key&gt;&lt;/foreign-keys&gt;&lt;ref-type name="Journal Article"&gt;17&lt;/ref-type&gt;&lt;contributors&gt;&lt;authors&gt;&lt;author&gt;Elsehrawy, Mohamed Gamal&lt;/author&gt;&lt;author&gt;Gaballah, Samia&lt;/author&gt;&lt;author&gt;Ibrahim, Ateya Megahed&lt;/author&gt;&lt;author&gt;Mohamed, Hind Abdullah&lt;/author&gt;&lt;/authors&gt;&lt;/contributors&gt;&lt;titles&gt;&lt;title&gt;Health Care professionals&amp;apos; Awareness of Occurrence Variance Reports at Accredited Versus Non-Accredited Hospitals: A Cross-Sectional Comparative Study&lt;/title&gt;&lt;secondary-title&gt;International Egyptian Journal of Nursing Sciences and Research&lt;/secondary-title&gt;&lt;/titles&gt;&lt;periodical&gt;&lt;full-title&gt;International Egyptian Journal of Nursing Sciences and Research&lt;/full-title&gt;&lt;/periodical&gt;&lt;pages&gt;17-24&lt;/pages&gt;&lt;volume&gt;4&lt;/volume&gt;&lt;number&gt;1&lt;/number&gt;&lt;dates&gt;&lt;year&gt;2023&lt;/year&gt;&lt;/dates&gt;&lt;isbn&gt;2682-4574&lt;/isbn&gt;&lt;urls&gt;&lt;/urls&gt;&lt;/record&gt;&lt;/Cite&gt;&lt;/EndNote&gt;</w:instrText>
      </w:r>
      <w:r w:rsidR="00B136CF" w:rsidRPr="008B59D5">
        <w:rPr>
          <w:rFonts w:cs="Times New Roman"/>
          <w:sz w:val="22"/>
          <w:szCs w:val="22"/>
        </w:rPr>
        <w:fldChar w:fldCharType="separate"/>
      </w:r>
      <w:r w:rsidR="007F2092" w:rsidRPr="008B59D5">
        <w:rPr>
          <w:rFonts w:cs="Times New Roman"/>
          <w:noProof/>
          <w:sz w:val="22"/>
          <w:szCs w:val="22"/>
        </w:rPr>
        <w:t>(25)</w:t>
      </w:r>
      <w:r w:rsidR="00B136CF" w:rsidRPr="008B59D5">
        <w:rPr>
          <w:rFonts w:cs="Times New Roman"/>
          <w:sz w:val="22"/>
          <w:szCs w:val="22"/>
        </w:rPr>
        <w:fldChar w:fldCharType="end"/>
      </w:r>
      <w:r w:rsidR="003A0445" w:rsidRPr="008B59D5">
        <w:rPr>
          <w:rFonts w:cs="Times New Roman"/>
          <w:sz w:val="22"/>
          <w:szCs w:val="22"/>
        </w:rPr>
        <w:t xml:space="preserve">. Accredited hospitals have additional </w:t>
      </w:r>
      <w:r w:rsidR="00B136CF" w:rsidRPr="008B59D5">
        <w:rPr>
          <w:rFonts w:cs="Times New Roman"/>
          <w:sz w:val="22"/>
          <w:szCs w:val="22"/>
        </w:rPr>
        <w:t xml:space="preserve">structured </w:t>
      </w:r>
      <w:r w:rsidR="003A0445" w:rsidRPr="008B59D5">
        <w:rPr>
          <w:rFonts w:cs="Times New Roman"/>
          <w:sz w:val="22"/>
          <w:szCs w:val="22"/>
        </w:rPr>
        <w:t xml:space="preserve">procedures to </w:t>
      </w:r>
      <w:r w:rsidR="00B136CF" w:rsidRPr="008B59D5">
        <w:rPr>
          <w:rFonts w:cs="Times New Roman"/>
          <w:sz w:val="22"/>
          <w:szCs w:val="22"/>
        </w:rPr>
        <w:t xml:space="preserve">support </w:t>
      </w:r>
      <w:r w:rsidR="003A0445" w:rsidRPr="008B59D5">
        <w:rPr>
          <w:rFonts w:cs="Times New Roman"/>
          <w:sz w:val="22"/>
          <w:szCs w:val="22"/>
        </w:rPr>
        <w:t xml:space="preserve">safe cultural behaviors, such as regular training sessions on the significance of incident reporting and the production of </w:t>
      </w:r>
      <w:r w:rsidR="00B136CF" w:rsidRPr="008B59D5">
        <w:rPr>
          <w:rFonts w:cs="Times New Roman"/>
          <w:sz w:val="22"/>
          <w:szCs w:val="22"/>
        </w:rPr>
        <w:t xml:space="preserve">structured </w:t>
      </w:r>
      <w:r w:rsidR="003A0445" w:rsidRPr="008B59D5">
        <w:rPr>
          <w:rFonts w:cs="Times New Roman"/>
          <w:sz w:val="22"/>
          <w:szCs w:val="22"/>
        </w:rPr>
        <w:t>occurrence variance reports</w:t>
      </w:r>
      <w:r w:rsidR="0081338F" w:rsidRPr="008B59D5">
        <w:rPr>
          <w:rFonts w:cs="Times New Roman"/>
          <w:sz w:val="22"/>
          <w:szCs w:val="22"/>
        </w:rPr>
        <w:t xml:space="preserve"> </w:t>
      </w:r>
      <w:r w:rsidR="0081338F" w:rsidRPr="008B59D5">
        <w:rPr>
          <w:rFonts w:cs="Times New Roman"/>
          <w:sz w:val="22"/>
          <w:szCs w:val="22"/>
        </w:rPr>
        <w:fldChar w:fldCharType="begin"/>
      </w:r>
      <w:r w:rsidR="007F2092" w:rsidRPr="008B59D5">
        <w:rPr>
          <w:rFonts w:cs="Times New Roman"/>
          <w:sz w:val="22"/>
          <w:szCs w:val="22"/>
        </w:rPr>
        <w:instrText xml:space="preserve"> ADDIN EN.CITE &lt;EndNote&gt;&lt;Cite&gt;&lt;Author&gt;Caldas&lt;/Author&gt;&lt;Year&gt;2022&lt;/Year&gt;&lt;RecNum&gt;141&lt;/RecNum&gt;&lt;DisplayText&gt;(26, 27)&lt;/DisplayText&gt;&lt;record&gt;&lt;rec-number&gt;141&lt;/rec-number&gt;&lt;foreign-keys&gt;&lt;key app="EN" db-id="atd5wdxd65z0fqe520up2zer9v5w20swx5az" timestamp="1723190542"&gt;141&lt;/key&gt;&lt;/foreign-keys&gt;&lt;ref-type name="Journal Article"&gt;17&lt;/ref-type&gt;&lt;contributors&gt;&lt;authors&gt;&lt;author&gt;Caldas, Bárbara do Nascimento&lt;/author&gt;&lt;author&gt;Portela, Margareth Crisóstomo&lt;/author&gt;&lt;author&gt;Singer, Sara Jean&lt;/author&gt;&lt;author&gt;Aveling, Emma-Louise&lt;/author&gt;&lt;/authors&gt;&lt;/contributors&gt;&lt;titles&gt;&lt;title&gt;How can implementation of a large-scale patient safety program strengthen hospital safety culture? Lessons from a qualitative study of national patient safety program implementation in two public hospitals in Brazil&lt;/title&gt;&lt;secondary-title&gt;Medical Care Research and Review&lt;/secondary-title&gt;&lt;/titles&gt;&lt;periodical&gt;&lt;full-title&gt;Medical Care Research and Review&lt;/full-title&gt;&lt;/periodical&gt;&lt;pages&gt;562-575&lt;/pages&gt;&lt;volume&gt;79&lt;/volume&gt;&lt;number&gt;4&lt;/number&gt;&lt;dates&gt;&lt;year&gt;2022&lt;/year&gt;&lt;/dates&gt;&lt;isbn&gt;1077-5587&lt;/isbn&gt;&lt;urls&gt;&lt;/urls&gt;&lt;/record&gt;&lt;/Cite&gt;&lt;Cite&gt;&lt;Author&gt;Ibrahim&lt;/Author&gt;&lt;Year&gt;2019&lt;/Year&gt;&lt;RecNum&gt;7&lt;/RecNum&gt;&lt;record&gt;&lt;rec-number&gt;7&lt;/rec-number&gt;&lt;foreign-keys&gt;&lt;key app="EN" db-id="r0we05v99p5de0eaertxvtpjexfvdf9dfxff" timestamp="1734935829"&gt;7&lt;/key&gt;&lt;/foreign-keys&gt;&lt;ref-type name="Journal Article"&gt;17&lt;/ref-type&gt;&lt;contributors&gt;&lt;authors&gt;&lt;author&gt;Ibrahim, Nemat-Allah G&lt;/author&gt;&lt;author&gt;El Bokhary, Mahmoud S&lt;/author&gt;&lt;author&gt;Alber, Nader&lt;/author&gt;&lt;/authors&gt;&lt;/contributors&gt;&lt;titles&gt;&lt;title&gt;APPLICATION OF THE ENVIRONMENTAL HEALTH STANDARDS AS A PRE-REQUISITE FOR THE ACCREDITATION OF THE HEALTH CARE INSTITUTIONS&lt;/title&gt;&lt;secondary-title&gt;Journal of Environmental Science&lt;/secondary-title&gt;&lt;/titles&gt;&lt;periodical&gt;&lt;full-title&gt;Journal of Environmental Science&lt;/full-title&gt;&lt;/periodical&gt;&lt;pages&gt;19-36&lt;/pages&gt;&lt;volume&gt;48&lt;/volume&gt;&lt;number&gt;2&lt;/number&gt;&lt;dates&gt;&lt;year&gt;2019&lt;/year&gt;&lt;/dates&gt;&lt;isbn&gt;1110-0826&lt;/isbn&gt;&lt;urls&gt;&lt;/urls&gt;&lt;/record&gt;&lt;/Cite&gt;&lt;/EndNote&gt;</w:instrText>
      </w:r>
      <w:r w:rsidR="0081338F" w:rsidRPr="008B59D5">
        <w:rPr>
          <w:rFonts w:cs="Times New Roman"/>
          <w:sz w:val="22"/>
          <w:szCs w:val="22"/>
        </w:rPr>
        <w:fldChar w:fldCharType="separate"/>
      </w:r>
      <w:r w:rsidR="007F2092" w:rsidRPr="008B59D5">
        <w:rPr>
          <w:rFonts w:cs="Times New Roman"/>
          <w:noProof/>
          <w:sz w:val="22"/>
          <w:szCs w:val="22"/>
        </w:rPr>
        <w:t>(26, 27)</w:t>
      </w:r>
      <w:r w:rsidR="0081338F" w:rsidRPr="008B59D5">
        <w:rPr>
          <w:rFonts w:cs="Times New Roman"/>
          <w:sz w:val="22"/>
          <w:szCs w:val="22"/>
        </w:rPr>
        <w:fldChar w:fldCharType="end"/>
      </w:r>
      <w:r w:rsidR="003A0445" w:rsidRPr="008B59D5">
        <w:rPr>
          <w:rFonts w:cs="Times New Roman"/>
          <w:sz w:val="22"/>
          <w:szCs w:val="22"/>
        </w:rPr>
        <w:t>.</w:t>
      </w:r>
      <w:r w:rsidR="00892BC3" w:rsidRPr="008B59D5">
        <w:rPr>
          <w:rFonts w:cs="Times New Roman"/>
          <w:sz w:val="22"/>
          <w:szCs w:val="22"/>
        </w:rPr>
        <w:t xml:space="preserve"> For instance, according to Liana (2024), various accredited hospitals implemented </w:t>
      </w:r>
      <w:r w:rsidR="007D5779" w:rsidRPr="008B59D5">
        <w:rPr>
          <w:rFonts w:cs="Times New Roman"/>
          <w:sz w:val="22"/>
          <w:szCs w:val="22"/>
        </w:rPr>
        <w:t xml:space="preserve">a </w:t>
      </w:r>
      <w:r w:rsidR="00892BC3" w:rsidRPr="008B59D5">
        <w:rPr>
          <w:rFonts w:cs="Times New Roman"/>
          <w:sz w:val="22"/>
          <w:szCs w:val="22"/>
        </w:rPr>
        <w:t xml:space="preserve">safety culture during </w:t>
      </w:r>
      <w:r w:rsidR="007D5779" w:rsidRPr="008B59D5">
        <w:rPr>
          <w:rFonts w:cs="Times New Roman"/>
          <w:sz w:val="22"/>
          <w:szCs w:val="22"/>
        </w:rPr>
        <w:t xml:space="preserve">the </w:t>
      </w:r>
      <w:r w:rsidR="00892BC3" w:rsidRPr="008B59D5">
        <w:rPr>
          <w:rFonts w:cs="Times New Roman"/>
          <w:sz w:val="22"/>
          <w:szCs w:val="22"/>
        </w:rPr>
        <w:t xml:space="preserve">COVID-19 </w:t>
      </w:r>
      <w:r w:rsidR="007D5779" w:rsidRPr="008B59D5">
        <w:rPr>
          <w:rFonts w:cs="Times New Roman"/>
          <w:sz w:val="22"/>
          <w:szCs w:val="22"/>
        </w:rPr>
        <w:t xml:space="preserve">pandemic </w:t>
      </w:r>
      <w:r w:rsidR="00892BC3" w:rsidRPr="008B59D5">
        <w:rPr>
          <w:rFonts w:cs="Times New Roman"/>
          <w:sz w:val="22"/>
          <w:szCs w:val="22"/>
        </w:rPr>
        <w:t xml:space="preserve">through six indicators, including leadership, safety communication, regulations, work environment, participation, and training </w:t>
      </w:r>
      <w:r w:rsidR="00892BC3" w:rsidRPr="008B59D5">
        <w:rPr>
          <w:rFonts w:cs="Times New Roman"/>
          <w:sz w:val="22"/>
          <w:szCs w:val="22"/>
        </w:rPr>
        <w:fldChar w:fldCharType="begin"/>
      </w:r>
      <w:r w:rsidR="007F2092" w:rsidRPr="008B59D5">
        <w:rPr>
          <w:rFonts w:cs="Times New Roman"/>
          <w:sz w:val="22"/>
          <w:szCs w:val="22"/>
        </w:rPr>
        <w:instrText xml:space="preserve"> ADDIN EN.CITE &lt;EndNote&gt;&lt;Cite&gt;&lt;Author&gt;Liana&lt;/Author&gt;&lt;Year&gt;2024&lt;/Year&gt;&lt;RecNum&gt;8&lt;/RecNum&gt;&lt;DisplayText&gt;(28)&lt;/DisplayText&gt;&lt;record&gt;&lt;rec-number&gt;8&lt;/rec-number&gt;&lt;foreign-keys&gt;&lt;key app="EN" db-id="r0we05v99p5de0eaertxvtpjexfvdf9dfxff" timestamp="1735018224"&gt;8&lt;/key&gt;&lt;/foreign-keys&gt;&lt;ref-type name="Journal Article"&gt;17&lt;/ref-type&gt;&lt;contributors&gt;&lt;authors&gt;&lt;author&gt;Liana, D., Maratis, J., Fauziah, N., &amp;amp; Dwijayanti, F&lt;/author&gt;&lt;/authors&gt;&lt;/contributors&gt;&lt;titles&gt;&lt;title&gt;Safety culture in accredited hospitals during the pandemic of COVID-19&lt;/title&gt;&lt;secondary-title&gt;International Journal of Research and Review&lt;/secondary-title&gt;&lt;/titles&gt;&lt;periodical&gt;&lt;full-title&gt;International Journal of Research and Review&lt;/full-title&gt;&lt;/periodical&gt;&lt;dates&gt;&lt;year&gt;2024&lt;/year&gt;&lt;/dates&gt;&lt;urls&gt;&lt;/urls&gt;&lt;electronic-resource-num&gt;https://doi.org/10.52403/ijrr.20240122&lt;/electronic-resource-num&gt;&lt;/record&gt;&lt;/Cite&gt;&lt;/EndNote&gt;</w:instrText>
      </w:r>
      <w:r w:rsidR="00892BC3" w:rsidRPr="008B59D5">
        <w:rPr>
          <w:rFonts w:cs="Times New Roman"/>
          <w:sz w:val="22"/>
          <w:szCs w:val="22"/>
        </w:rPr>
        <w:fldChar w:fldCharType="separate"/>
      </w:r>
      <w:r w:rsidR="007F2092" w:rsidRPr="008B59D5">
        <w:rPr>
          <w:rFonts w:cs="Times New Roman"/>
          <w:noProof/>
          <w:sz w:val="22"/>
          <w:szCs w:val="22"/>
        </w:rPr>
        <w:t>(28)</w:t>
      </w:r>
      <w:r w:rsidR="00892BC3" w:rsidRPr="008B59D5">
        <w:rPr>
          <w:rFonts w:cs="Times New Roman"/>
          <w:sz w:val="22"/>
          <w:szCs w:val="22"/>
        </w:rPr>
        <w:fldChar w:fldCharType="end"/>
      </w:r>
      <w:r w:rsidR="00892BC3" w:rsidRPr="008B59D5">
        <w:rPr>
          <w:rFonts w:cs="Times New Roman"/>
          <w:sz w:val="22"/>
          <w:szCs w:val="22"/>
        </w:rPr>
        <w:t>.</w:t>
      </w:r>
    </w:p>
    <w:p w14:paraId="529ECB40" w14:textId="3A3E0176" w:rsidR="006F2E30" w:rsidRPr="008B59D5" w:rsidRDefault="003A0445" w:rsidP="008B59D5">
      <w:pPr>
        <w:spacing w:line="240" w:lineRule="auto"/>
        <w:rPr>
          <w:rFonts w:cs="Times New Roman"/>
          <w:sz w:val="22"/>
          <w:szCs w:val="22"/>
        </w:rPr>
      </w:pPr>
      <w:r w:rsidRPr="008B59D5">
        <w:rPr>
          <w:rFonts w:cs="Times New Roman"/>
          <w:sz w:val="22"/>
          <w:szCs w:val="22"/>
        </w:rPr>
        <w:t>Non-accredited hospitals need to impr</w:t>
      </w:r>
      <w:r w:rsidR="0034541B" w:rsidRPr="008B59D5">
        <w:rPr>
          <w:rFonts w:cs="Times New Roman"/>
          <w:sz w:val="22"/>
          <w:szCs w:val="22"/>
        </w:rPr>
        <w:t>ove their policies</w:t>
      </w:r>
      <w:r w:rsidRPr="008B59D5">
        <w:rPr>
          <w:rFonts w:cs="Times New Roman"/>
          <w:sz w:val="22"/>
          <w:szCs w:val="22"/>
        </w:rPr>
        <w:t xml:space="preserve"> to reduce </w:t>
      </w:r>
      <w:r w:rsidR="0034541B" w:rsidRPr="008B59D5">
        <w:rPr>
          <w:rFonts w:cs="Times New Roman"/>
          <w:sz w:val="22"/>
          <w:szCs w:val="22"/>
        </w:rPr>
        <w:t>issues such as healthcare</w:t>
      </w:r>
      <w:r w:rsidRPr="008B59D5">
        <w:rPr>
          <w:rFonts w:cs="Times New Roman"/>
          <w:sz w:val="22"/>
          <w:szCs w:val="22"/>
        </w:rPr>
        <w:t xml:space="preserve"> workers' guilt, ignorance, and fear of punishment. Therefore, </w:t>
      </w:r>
      <w:r w:rsidR="0034541B" w:rsidRPr="008B59D5">
        <w:rPr>
          <w:rFonts w:cs="Times New Roman"/>
          <w:sz w:val="22"/>
          <w:szCs w:val="22"/>
        </w:rPr>
        <w:t>implementing a potential</w:t>
      </w:r>
      <w:r w:rsidRPr="008B59D5">
        <w:rPr>
          <w:rFonts w:cs="Times New Roman"/>
          <w:sz w:val="22"/>
          <w:szCs w:val="22"/>
        </w:rPr>
        <w:t xml:space="preserve"> training program </w:t>
      </w:r>
      <w:r w:rsidR="0034541B" w:rsidRPr="008B59D5">
        <w:rPr>
          <w:rFonts w:cs="Times New Roman"/>
          <w:sz w:val="22"/>
          <w:szCs w:val="22"/>
        </w:rPr>
        <w:t>m</w:t>
      </w:r>
      <w:r w:rsidR="007D5779" w:rsidRPr="008B59D5">
        <w:rPr>
          <w:rFonts w:cs="Times New Roman"/>
          <w:sz w:val="22"/>
          <w:szCs w:val="22"/>
        </w:rPr>
        <w:t>ay</w:t>
      </w:r>
      <w:r w:rsidRPr="008B59D5">
        <w:rPr>
          <w:rFonts w:cs="Times New Roman"/>
          <w:sz w:val="22"/>
          <w:szCs w:val="22"/>
        </w:rPr>
        <w:t xml:space="preserve"> significant</w:t>
      </w:r>
      <w:r w:rsidR="0034541B" w:rsidRPr="008B59D5">
        <w:rPr>
          <w:rFonts w:cs="Times New Roman"/>
          <w:sz w:val="22"/>
          <w:szCs w:val="22"/>
        </w:rPr>
        <w:t>ly</w:t>
      </w:r>
      <w:r w:rsidRPr="008B59D5">
        <w:rPr>
          <w:rFonts w:cs="Times New Roman"/>
          <w:sz w:val="22"/>
          <w:szCs w:val="22"/>
        </w:rPr>
        <w:t xml:space="preserve"> i</w:t>
      </w:r>
      <w:r w:rsidR="008F65A8" w:rsidRPr="008B59D5">
        <w:rPr>
          <w:rFonts w:cs="Times New Roman"/>
          <w:sz w:val="22"/>
          <w:szCs w:val="22"/>
        </w:rPr>
        <w:t>ncrease</w:t>
      </w:r>
      <w:r w:rsidR="0034541B" w:rsidRPr="008B59D5">
        <w:rPr>
          <w:rFonts w:cs="Times New Roman"/>
          <w:sz w:val="22"/>
          <w:szCs w:val="22"/>
        </w:rPr>
        <w:t xml:space="preserve"> hospital staff awareness </w:t>
      </w:r>
      <w:r w:rsidR="007D5779" w:rsidRPr="008B59D5">
        <w:rPr>
          <w:rFonts w:cs="Times New Roman"/>
          <w:sz w:val="22"/>
          <w:szCs w:val="22"/>
        </w:rPr>
        <w:t>of</w:t>
      </w:r>
      <w:r w:rsidR="0034541B" w:rsidRPr="008B59D5">
        <w:rPr>
          <w:rFonts w:cs="Times New Roman"/>
          <w:sz w:val="22"/>
          <w:szCs w:val="22"/>
        </w:rPr>
        <w:t xml:space="preserve"> </w:t>
      </w:r>
      <w:r w:rsidRPr="008B59D5">
        <w:rPr>
          <w:rFonts w:cs="Times New Roman"/>
          <w:sz w:val="22"/>
          <w:szCs w:val="22"/>
        </w:rPr>
        <w:t xml:space="preserve">the OVR system and its </w:t>
      </w:r>
      <w:r w:rsidR="008F65A8" w:rsidRPr="008B59D5">
        <w:rPr>
          <w:rFonts w:cs="Times New Roman"/>
          <w:sz w:val="22"/>
          <w:szCs w:val="22"/>
        </w:rPr>
        <w:t>import</w:t>
      </w:r>
      <w:r w:rsidRPr="008B59D5">
        <w:rPr>
          <w:rFonts w:cs="Times New Roman"/>
          <w:sz w:val="22"/>
          <w:szCs w:val="22"/>
        </w:rPr>
        <w:t xml:space="preserve">ance </w:t>
      </w:r>
      <w:r w:rsidR="008F65A8" w:rsidRPr="008B59D5">
        <w:rPr>
          <w:rFonts w:cs="Times New Roman"/>
          <w:sz w:val="22"/>
          <w:szCs w:val="22"/>
        </w:rPr>
        <w:t>for</w:t>
      </w:r>
      <w:r w:rsidRPr="008B59D5">
        <w:rPr>
          <w:rFonts w:cs="Times New Roman"/>
          <w:sz w:val="22"/>
          <w:szCs w:val="22"/>
        </w:rPr>
        <w:t xml:space="preserve"> patient, staff, and hospital safety </w:t>
      </w:r>
      <w:r w:rsidR="006F2E30" w:rsidRPr="008B59D5">
        <w:rPr>
          <w:rFonts w:cs="Times New Roman"/>
          <w:sz w:val="22"/>
          <w:szCs w:val="22"/>
        </w:rPr>
        <w:fldChar w:fldCharType="begin"/>
      </w:r>
      <w:r w:rsidR="007F2092" w:rsidRPr="008B59D5">
        <w:rPr>
          <w:rFonts w:cs="Times New Roman"/>
          <w:sz w:val="22"/>
          <w:szCs w:val="22"/>
        </w:rPr>
        <w:instrText xml:space="preserve"> ADDIN EN.CITE &lt;EndNote&gt;&lt;Cite&gt;&lt;Author&gt;Elsehrawy&lt;/Author&gt;&lt;Year&gt;2023&lt;/Year&gt;&lt;RecNum&gt;139&lt;/RecNum&gt;&lt;DisplayText&gt;(25)&lt;/DisplayText&gt;&lt;record&gt;&lt;rec-number&gt;139&lt;/rec-number&gt;&lt;foreign-keys&gt;&lt;key app="EN" db-id="atd5wdxd65z0fqe520up2zer9v5w20swx5az" timestamp="1723189689"&gt;139&lt;/key&gt;&lt;/foreign-keys&gt;&lt;ref-type name="Journal Article"&gt;17&lt;/ref-type&gt;&lt;contributors&gt;&lt;authors&gt;&lt;author&gt;Elsehrawy, Mohamed Gamal&lt;/author&gt;&lt;author&gt;Gaballah, Samia&lt;/author&gt;&lt;author&gt;Ibrahim, Ateya Megahed&lt;/author&gt;&lt;author&gt;Mohamed, Hind Abdullah&lt;/author&gt;&lt;/authors&gt;&lt;/contributors&gt;&lt;titles&gt;&lt;title&gt;Health Care professionals&amp;apos; Awareness of Occurrence Variance Reports at Accredited Versus Non-Accredited Hospitals: A Cross-Sectional Comparative Study&lt;/title&gt;&lt;secondary-title&gt;International Egyptian Journal of Nursing Sciences and Research&lt;/secondary-title&gt;&lt;/titles&gt;&lt;periodical&gt;&lt;full-title&gt;International Egyptian Journal of Nursing Sciences and Research&lt;/full-title&gt;&lt;/periodical&gt;&lt;pages&gt;17-24&lt;/pages&gt;&lt;volume&gt;4&lt;/volume&gt;&lt;number&gt;1&lt;/number&gt;&lt;dates&gt;&lt;year&gt;2023&lt;/year&gt;&lt;/dates&gt;&lt;isbn&gt;2682-4574&lt;/isbn&gt;&lt;urls&gt;&lt;/urls&gt;&lt;/record&gt;&lt;/Cite&gt;&lt;/EndNote&gt;</w:instrText>
      </w:r>
      <w:r w:rsidR="006F2E30" w:rsidRPr="008B59D5">
        <w:rPr>
          <w:rFonts w:cs="Times New Roman"/>
          <w:sz w:val="22"/>
          <w:szCs w:val="22"/>
        </w:rPr>
        <w:fldChar w:fldCharType="separate"/>
      </w:r>
      <w:r w:rsidR="007F2092" w:rsidRPr="008B59D5">
        <w:rPr>
          <w:rFonts w:cs="Times New Roman"/>
          <w:noProof/>
          <w:sz w:val="22"/>
          <w:szCs w:val="22"/>
        </w:rPr>
        <w:t>(25)</w:t>
      </w:r>
      <w:r w:rsidR="006F2E30" w:rsidRPr="008B59D5">
        <w:rPr>
          <w:rFonts w:cs="Times New Roman"/>
          <w:sz w:val="22"/>
          <w:szCs w:val="22"/>
        </w:rPr>
        <w:fldChar w:fldCharType="end"/>
      </w:r>
      <w:r w:rsidRPr="008B59D5">
        <w:rPr>
          <w:rFonts w:cs="Times New Roman"/>
          <w:sz w:val="22"/>
          <w:szCs w:val="22"/>
        </w:rPr>
        <w:t xml:space="preserve">. </w:t>
      </w:r>
      <w:r w:rsidR="0034541B" w:rsidRPr="008B59D5">
        <w:rPr>
          <w:rFonts w:cs="Times New Roman"/>
          <w:sz w:val="22"/>
          <w:szCs w:val="22"/>
        </w:rPr>
        <w:t>The analysis of this study revealed that</w:t>
      </w:r>
      <w:r w:rsidRPr="008B59D5">
        <w:rPr>
          <w:rFonts w:cs="Times New Roman"/>
          <w:sz w:val="22"/>
          <w:szCs w:val="22"/>
        </w:rPr>
        <w:t xml:space="preserve"> medication error</w:t>
      </w:r>
      <w:r w:rsidR="0034541B" w:rsidRPr="008B59D5">
        <w:rPr>
          <w:rFonts w:cs="Times New Roman"/>
          <w:sz w:val="22"/>
          <w:szCs w:val="22"/>
        </w:rPr>
        <w:t>s</w:t>
      </w:r>
      <w:r w:rsidRPr="008B59D5">
        <w:rPr>
          <w:rFonts w:cs="Times New Roman"/>
          <w:sz w:val="22"/>
          <w:szCs w:val="22"/>
        </w:rPr>
        <w:t xml:space="preserve"> </w:t>
      </w:r>
      <w:r w:rsidR="0034541B" w:rsidRPr="008B59D5">
        <w:rPr>
          <w:rFonts w:cs="Times New Roman"/>
          <w:sz w:val="22"/>
          <w:szCs w:val="22"/>
        </w:rPr>
        <w:t>were</w:t>
      </w:r>
      <w:r w:rsidR="006F2E30" w:rsidRPr="008B59D5">
        <w:rPr>
          <w:rFonts w:cs="Times New Roman"/>
          <w:sz w:val="22"/>
          <w:szCs w:val="22"/>
        </w:rPr>
        <w:t xml:space="preserve"> the most frequently reported OVR type in 2021,</w:t>
      </w:r>
      <w:r w:rsidR="008F65A8" w:rsidRPr="008B59D5">
        <w:rPr>
          <w:rFonts w:cs="Times New Roman"/>
          <w:sz w:val="22"/>
          <w:szCs w:val="22"/>
        </w:rPr>
        <w:t xml:space="preserve"> </w:t>
      </w:r>
      <w:r w:rsidR="006F2E30" w:rsidRPr="008B59D5">
        <w:rPr>
          <w:rFonts w:cs="Times New Roman"/>
          <w:sz w:val="22"/>
          <w:szCs w:val="22"/>
        </w:rPr>
        <w:t>2022, and 2023, with incidents numbering</w:t>
      </w:r>
      <w:r w:rsidR="008F65A8" w:rsidRPr="008B59D5">
        <w:rPr>
          <w:rFonts w:cs="Times New Roman"/>
          <w:sz w:val="22"/>
          <w:szCs w:val="22"/>
        </w:rPr>
        <w:t xml:space="preserve"> </w:t>
      </w:r>
      <w:r w:rsidR="006F2E30" w:rsidRPr="008B59D5">
        <w:rPr>
          <w:rFonts w:cs="Times New Roman"/>
          <w:sz w:val="22"/>
          <w:szCs w:val="22"/>
        </w:rPr>
        <w:t>15665,</w:t>
      </w:r>
      <w:r w:rsidR="008F65A8" w:rsidRPr="008B59D5">
        <w:rPr>
          <w:rFonts w:cs="Times New Roman"/>
          <w:sz w:val="22"/>
          <w:szCs w:val="22"/>
        </w:rPr>
        <w:t xml:space="preserve"> </w:t>
      </w:r>
      <w:r w:rsidRPr="008B59D5">
        <w:rPr>
          <w:rFonts w:cs="Times New Roman"/>
          <w:sz w:val="22"/>
          <w:szCs w:val="22"/>
        </w:rPr>
        <w:t xml:space="preserve">3895, and </w:t>
      </w:r>
      <w:r w:rsidR="006F2E30" w:rsidRPr="008B59D5">
        <w:rPr>
          <w:rFonts w:cs="Times New Roman"/>
          <w:sz w:val="22"/>
          <w:szCs w:val="22"/>
        </w:rPr>
        <w:t>12459, respectively</w:t>
      </w:r>
      <w:r w:rsidRPr="008B59D5">
        <w:rPr>
          <w:rFonts w:cs="Times New Roman"/>
          <w:sz w:val="22"/>
          <w:szCs w:val="22"/>
        </w:rPr>
        <w:t xml:space="preserve">. </w:t>
      </w:r>
      <w:r w:rsidR="006F2E30" w:rsidRPr="008B59D5">
        <w:rPr>
          <w:rFonts w:cs="Times New Roman"/>
          <w:sz w:val="22"/>
          <w:szCs w:val="22"/>
        </w:rPr>
        <w:t xml:space="preserve">These results </w:t>
      </w:r>
      <w:r w:rsidR="007D5779" w:rsidRPr="008B59D5">
        <w:rPr>
          <w:rFonts w:cs="Times New Roman"/>
          <w:sz w:val="22"/>
          <w:szCs w:val="22"/>
        </w:rPr>
        <w:t xml:space="preserve">were </w:t>
      </w:r>
      <w:r w:rsidRPr="008B59D5">
        <w:rPr>
          <w:rFonts w:cs="Times New Roman"/>
          <w:sz w:val="22"/>
          <w:szCs w:val="22"/>
        </w:rPr>
        <w:t xml:space="preserve">followed by </w:t>
      </w:r>
      <w:r w:rsidR="006F2E30" w:rsidRPr="008B59D5">
        <w:rPr>
          <w:rFonts w:cs="Times New Roman"/>
          <w:sz w:val="22"/>
          <w:szCs w:val="22"/>
        </w:rPr>
        <w:t xml:space="preserve">issues related to </w:t>
      </w:r>
      <w:r w:rsidRPr="008B59D5">
        <w:rPr>
          <w:rFonts w:cs="Times New Roman"/>
          <w:sz w:val="22"/>
          <w:szCs w:val="22"/>
        </w:rPr>
        <w:t xml:space="preserve">patient care management, documentation, staff, and laboratory concerns. </w:t>
      </w:r>
      <w:proofErr w:type="spellStart"/>
      <w:r w:rsidR="006F2E30" w:rsidRPr="008B59D5">
        <w:rPr>
          <w:rFonts w:cs="Times New Roman"/>
          <w:sz w:val="22"/>
          <w:szCs w:val="22"/>
        </w:rPr>
        <w:t>Althobaiti</w:t>
      </w:r>
      <w:proofErr w:type="spellEnd"/>
      <w:r w:rsidR="006F2E30" w:rsidRPr="008B59D5">
        <w:rPr>
          <w:rFonts w:cs="Times New Roman"/>
          <w:sz w:val="22"/>
          <w:szCs w:val="22"/>
        </w:rPr>
        <w:t xml:space="preserve"> et </w:t>
      </w:r>
      <w:r w:rsidR="007D5779" w:rsidRPr="008B59D5">
        <w:rPr>
          <w:rFonts w:cs="Times New Roman"/>
          <w:sz w:val="22"/>
          <w:szCs w:val="22"/>
        </w:rPr>
        <w:t xml:space="preserve">al. (2022) found that nursing care management issues </w:t>
      </w:r>
      <w:r w:rsidR="008F65A8" w:rsidRPr="008B59D5">
        <w:rPr>
          <w:rFonts w:cs="Times New Roman"/>
          <w:sz w:val="22"/>
          <w:szCs w:val="22"/>
        </w:rPr>
        <w:t>accounted for</w:t>
      </w:r>
      <w:r w:rsidR="007D5779" w:rsidRPr="008B59D5">
        <w:rPr>
          <w:rFonts w:cs="Times New Roman"/>
          <w:sz w:val="22"/>
          <w:szCs w:val="22"/>
        </w:rPr>
        <w:t xml:space="preserve"> 60.4% of all OVR types, with identification/document/consent issues coming in second at</w:t>
      </w:r>
      <w:r w:rsidR="006F2E30" w:rsidRPr="008B59D5">
        <w:rPr>
          <w:rFonts w:cs="Times New Roman"/>
          <w:sz w:val="22"/>
          <w:szCs w:val="22"/>
        </w:rPr>
        <w:t xml:space="preserve"> 9.4%</w:t>
      </w:r>
      <w:r w:rsidRPr="008B59D5">
        <w:rPr>
          <w:rFonts w:cs="Times New Roman"/>
          <w:sz w:val="22"/>
          <w:szCs w:val="22"/>
        </w:rPr>
        <w:t>.</w:t>
      </w:r>
      <w:r w:rsidR="0012306F" w:rsidRPr="008B59D5">
        <w:rPr>
          <w:rFonts w:cs="Times New Roman"/>
          <w:sz w:val="22"/>
          <w:szCs w:val="22"/>
        </w:rPr>
        <w:t xml:space="preserve"> </w:t>
      </w:r>
      <w:r w:rsidRPr="008B59D5">
        <w:rPr>
          <w:rFonts w:cs="Times New Roman"/>
          <w:sz w:val="22"/>
          <w:szCs w:val="22"/>
        </w:rPr>
        <w:t>Significantly, 2, 1, and 26 catastrophic-level events</w:t>
      </w:r>
      <w:r w:rsidR="006F2E30" w:rsidRPr="008B59D5">
        <w:rPr>
          <w:rFonts w:cs="Times New Roman"/>
          <w:sz w:val="22"/>
          <w:szCs w:val="22"/>
        </w:rPr>
        <w:t xml:space="preserve"> </w:t>
      </w:r>
      <w:r w:rsidR="008F65A8" w:rsidRPr="008B59D5">
        <w:rPr>
          <w:rFonts w:cs="Times New Roman"/>
          <w:sz w:val="22"/>
          <w:szCs w:val="22"/>
        </w:rPr>
        <w:t xml:space="preserve">were </w:t>
      </w:r>
      <w:r w:rsidR="006F2E30" w:rsidRPr="008B59D5">
        <w:rPr>
          <w:rFonts w:cs="Times New Roman"/>
          <w:sz w:val="22"/>
          <w:szCs w:val="22"/>
        </w:rPr>
        <w:t>reported</w:t>
      </w:r>
      <w:r w:rsidRPr="008B59D5">
        <w:rPr>
          <w:rFonts w:cs="Times New Roman"/>
          <w:sz w:val="22"/>
          <w:szCs w:val="22"/>
        </w:rPr>
        <w:t xml:space="preserve"> in 2021, 2022, and 2023, respectively. Among the </w:t>
      </w:r>
      <w:r w:rsidR="0012306F" w:rsidRPr="008B59D5">
        <w:rPr>
          <w:rFonts w:cs="Times New Roman"/>
          <w:sz w:val="22"/>
          <w:szCs w:val="22"/>
        </w:rPr>
        <w:t xml:space="preserve">various </w:t>
      </w:r>
      <w:r w:rsidRPr="008B59D5">
        <w:rPr>
          <w:rFonts w:cs="Times New Roman"/>
          <w:sz w:val="22"/>
          <w:szCs w:val="22"/>
        </w:rPr>
        <w:t xml:space="preserve">OVR types, housekeeping concerns (0.2%) and laundry service </w:t>
      </w:r>
      <w:r w:rsidR="0012306F" w:rsidRPr="008B59D5">
        <w:rPr>
          <w:rFonts w:cs="Times New Roman"/>
          <w:sz w:val="22"/>
          <w:szCs w:val="22"/>
        </w:rPr>
        <w:t xml:space="preserve">issues </w:t>
      </w:r>
      <w:r w:rsidRPr="008B59D5">
        <w:rPr>
          <w:rFonts w:cs="Times New Roman"/>
          <w:sz w:val="22"/>
          <w:szCs w:val="22"/>
        </w:rPr>
        <w:t>(0.1%) were the least common</w:t>
      </w:r>
      <w:r w:rsidR="0012306F" w:rsidRPr="008B59D5">
        <w:rPr>
          <w:rFonts w:cs="Times New Roman"/>
          <w:sz w:val="22"/>
          <w:szCs w:val="22"/>
        </w:rPr>
        <w:t xml:space="preserve">ly reported </w:t>
      </w:r>
      <w:r w:rsidR="0012306F" w:rsidRPr="008B59D5">
        <w:rPr>
          <w:rFonts w:cs="Times New Roman"/>
          <w:sz w:val="22"/>
          <w:szCs w:val="22"/>
        </w:rPr>
        <w:fldChar w:fldCharType="begin"/>
      </w:r>
      <w:r w:rsidR="007F2092" w:rsidRPr="008B59D5">
        <w:rPr>
          <w:rFonts w:cs="Times New Roman"/>
          <w:sz w:val="22"/>
          <w:szCs w:val="22"/>
        </w:rPr>
        <w:instrText xml:space="preserve"> ADDIN EN.CITE &lt;EndNote&gt;&lt;Cite&gt;&lt;Author&gt;Althobaiti&lt;/Author&gt;&lt;Year&gt;2022&lt;/Year&gt;&lt;RecNum&gt;142&lt;/RecNum&gt;&lt;DisplayText&gt;(29)&lt;/DisplayText&gt;&lt;record&gt;&lt;rec-number&gt;142&lt;/rec-number&gt;&lt;foreign-keys&gt;&lt;key app="EN" db-id="atd5wdxd65z0fqe520up2zer9v5w20swx5az" timestamp="1723196072"&gt;142&lt;/key&gt;&lt;/foreign-keys&gt;&lt;ref-type name="Journal Article"&gt;17&lt;/ref-type&gt;&lt;contributors&gt;&lt;authors&gt;&lt;author&gt;Althobaiti, Mashael&lt;/author&gt;&lt;author&gt;Alghamdi, Ahmad Joman&lt;/author&gt;&lt;author&gt;Almalki, Mohammed&lt;/author&gt;&lt;author&gt;Alkarani, Ahmed S&lt;/author&gt;&lt;author&gt;Alamri, Sultan&lt;/author&gt;&lt;/authors&gt;&lt;/contributors&gt;&lt;titles&gt;&lt;title&gt;Identification of factors affecting patient safety in the emergency department: A retrospective study&lt;/title&gt;&lt;secondary-title&gt;Journal of Clinical and Diagnostic Research&lt;/secondary-title&gt;&lt;/titles&gt;&lt;periodical&gt;&lt;full-title&gt;Journal of Clinical and Diagnostic Research&lt;/full-title&gt;&lt;/periodical&gt;&lt;pages&gt;LC01-LC05&lt;/pages&gt;&lt;volume&gt;16&lt;/volume&gt;&lt;number&gt;3&lt;/number&gt;&lt;dates&gt;&lt;year&gt;2022&lt;/year&gt;&lt;/dates&gt;&lt;isbn&gt;2249-782X&lt;/isbn&gt;&lt;urls&gt;&lt;/urls&gt;&lt;/record&gt;&lt;/Cite&gt;&lt;/EndNote&gt;</w:instrText>
      </w:r>
      <w:r w:rsidR="0012306F" w:rsidRPr="008B59D5">
        <w:rPr>
          <w:rFonts w:cs="Times New Roman"/>
          <w:sz w:val="22"/>
          <w:szCs w:val="22"/>
        </w:rPr>
        <w:fldChar w:fldCharType="separate"/>
      </w:r>
      <w:r w:rsidR="007F2092" w:rsidRPr="008B59D5">
        <w:rPr>
          <w:rFonts w:cs="Times New Roman"/>
          <w:noProof/>
          <w:sz w:val="22"/>
          <w:szCs w:val="22"/>
        </w:rPr>
        <w:t>(29)</w:t>
      </w:r>
      <w:r w:rsidR="0012306F" w:rsidRPr="008B59D5">
        <w:rPr>
          <w:rFonts w:cs="Times New Roman"/>
          <w:sz w:val="22"/>
          <w:szCs w:val="22"/>
        </w:rPr>
        <w:fldChar w:fldCharType="end"/>
      </w:r>
      <w:r w:rsidR="0012306F" w:rsidRPr="008B59D5">
        <w:rPr>
          <w:rFonts w:cs="Times New Roman"/>
          <w:sz w:val="22"/>
          <w:szCs w:val="22"/>
        </w:rPr>
        <w:t>.</w:t>
      </w:r>
    </w:p>
    <w:p w14:paraId="454E4B8A" w14:textId="41ECDDF5" w:rsidR="00C74630" w:rsidRPr="008B59D5" w:rsidRDefault="00C74630" w:rsidP="008B59D5">
      <w:pPr>
        <w:spacing w:line="240" w:lineRule="auto"/>
        <w:rPr>
          <w:rFonts w:cs="Times New Roman"/>
          <w:sz w:val="22"/>
          <w:szCs w:val="22"/>
        </w:rPr>
      </w:pPr>
      <w:r w:rsidRPr="008B59D5">
        <w:rPr>
          <w:rFonts w:cs="Times New Roman"/>
          <w:sz w:val="22"/>
          <w:szCs w:val="22"/>
        </w:rPr>
        <w:t>Several studies have identified the categories and proportion</w:t>
      </w:r>
      <w:r w:rsidR="007D5779" w:rsidRPr="008B59D5">
        <w:rPr>
          <w:rFonts w:cs="Times New Roman"/>
          <w:sz w:val="22"/>
          <w:szCs w:val="22"/>
        </w:rPr>
        <w:t>s</w:t>
      </w:r>
      <w:r w:rsidRPr="008B59D5">
        <w:rPr>
          <w:rFonts w:cs="Times New Roman"/>
          <w:sz w:val="22"/>
          <w:szCs w:val="22"/>
        </w:rPr>
        <w:t xml:space="preserve"> of errors in healthcare systems. Based on the </w:t>
      </w:r>
      <w:r w:rsidR="007D5779" w:rsidRPr="008B59D5">
        <w:rPr>
          <w:rFonts w:cs="Times New Roman"/>
          <w:sz w:val="22"/>
          <w:szCs w:val="22"/>
        </w:rPr>
        <w:t xml:space="preserve">study's findings, procedural errors were identified as the most common type of medication-related error, accounting for 38%, followed by pharmaceutical </w:t>
      </w:r>
      <w:r w:rsidR="008F65A8" w:rsidRPr="008B59D5">
        <w:rPr>
          <w:rFonts w:cs="Times New Roman"/>
          <w:sz w:val="22"/>
          <w:szCs w:val="22"/>
        </w:rPr>
        <w:t>errors (16%), documentation errors (13%), and communication errors (12%)</w:t>
      </w:r>
      <w:r w:rsidRPr="008B59D5">
        <w:rPr>
          <w:rFonts w:cs="Times New Roman"/>
          <w:sz w:val="22"/>
          <w:szCs w:val="22"/>
        </w:rPr>
        <w:t xml:space="preserve"> </w:t>
      </w:r>
      <w:r w:rsidRPr="008B59D5">
        <w:rPr>
          <w:rFonts w:cs="Times New Roman"/>
          <w:sz w:val="22"/>
          <w:szCs w:val="22"/>
        </w:rPr>
        <w:fldChar w:fldCharType="begin"/>
      </w:r>
      <w:r w:rsidR="007F2092" w:rsidRPr="008B59D5">
        <w:rPr>
          <w:rFonts w:cs="Times New Roman"/>
          <w:sz w:val="22"/>
          <w:szCs w:val="22"/>
        </w:rPr>
        <w:instrText xml:space="preserve"> ADDIN EN.CITE &lt;EndNote&gt;&lt;Cite&gt;&lt;Author&gt;Çınarlı&lt;/Author&gt;&lt;Year&gt;2020&lt;/Year&gt;&lt;RecNum&gt;160&lt;/RecNum&gt;&lt;DisplayText&gt;(30)&lt;/DisplayText&gt;&lt;record&gt;&lt;rec-number&gt;160&lt;/rec-number&gt;&lt;foreign-keys&gt;&lt;key app="EN" db-id="atd5wdxd65z0fqe520up2zer9v5w20swx5az" timestamp="1723401071"&gt;160&lt;/key&gt;&lt;/foreign-keys&gt;&lt;ref-type name="Journal Article"&gt;17&lt;/ref-type&gt;&lt;contributors&gt;&lt;authors&gt;&lt;author&gt;&lt;style face="normal" font="default" size="100%"&gt;Ç&lt;/style&gt;&lt;style face="normal" font="default" charset="238" size="100%"&gt;ınarlı, Tuğba &amp;amp; ko&lt;/style&gt;&lt;style face="normal" font="default" size="100%"&gt;ç, Zeliha &amp;amp; Akdemir, H&lt;/style&gt;&lt;style face="normal" font="default" charset="238" size="100%"&gt;ızır &amp;amp; Kati, Celal.&lt;/style&gt;&lt;/author&gt;&lt;/authors&gt;&lt;/contributors&gt;&lt;titles&gt;&lt;title&gt;&lt;style face="normal" font="default" charset="238" size="100%"&gt;Factors Affecting Patient Safety Culture And Medical Error Prevalence In Emergency Services. &lt;/style&gt;&lt;/title&gt;&lt;secondary-title&gt;&lt;style face="normal" font="default" charset="238" size="100%"&gt;Sağlık ve Hemşirelik Y&lt;/style&gt;&lt;style face="normal" font="default" size="100%"&gt;önetimi Dergisi. &lt;/style&gt;&lt;/secondary-title&gt;&lt;/titles&gt;&lt;dates&gt;&lt;year&gt;2020&lt;/year&gt;&lt;/dates&gt;&lt;urls&gt;&lt;/urls&gt;&lt;electronic-resource-num&gt;10.5222/SHYD.2019.02486. &lt;/electronic-resource-num&gt;&lt;/record&gt;&lt;/Cite&gt;&lt;/EndNote&gt;</w:instrText>
      </w:r>
      <w:r w:rsidRPr="008B59D5">
        <w:rPr>
          <w:rFonts w:cs="Times New Roman"/>
          <w:sz w:val="22"/>
          <w:szCs w:val="22"/>
        </w:rPr>
        <w:fldChar w:fldCharType="separate"/>
      </w:r>
      <w:r w:rsidR="007F2092" w:rsidRPr="008B59D5">
        <w:rPr>
          <w:rFonts w:cs="Times New Roman"/>
          <w:noProof/>
          <w:sz w:val="22"/>
          <w:szCs w:val="22"/>
        </w:rPr>
        <w:t>(30)</w:t>
      </w:r>
      <w:r w:rsidRPr="008B59D5">
        <w:rPr>
          <w:rFonts w:cs="Times New Roman"/>
          <w:sz w:val="22"/>
          <w:szCs w:val="22"/>
        </w:rPr>
        <w:fldChar w:fldCharType="end"/>
      </w:r>
      <w:r w:rsidRPr="008B59D5">
        <w:rPr>
          <w:rFonts w:cs="Times New Roman"/>
          <w:sz w:val="22"/>
          <w:szCs w:val="22"/>
        </w:rPr>
        <w:t xml:space="preserve">. However, a survey conducted </w:t>
      </w:r>
      <w:r w:rsidR="007D5779" w:rsidRPr="008B59D5">
        <w:rPr>
          <w:rFonts w:cs="Times New Roman"/>
          <w:sz w:val="22"/>
          <w:szCs w:val="22"/>
        </w:rPr>
        <w:t>by</w:t>
      </w:r>
      <w:r w:rsidRPr="008B59D5">
        <w:rPr>
          <w:rFonts w:cs="Times New Roman"/>
          <w:sz w:val="22"/>
          <w:szCs w:val="22"/>
        </w:rPr>
        <w:t xml:space="preserve"> the Netherlands Federation of University Medical </w:t>
      </w:r>
      <w:proofErr w:type="spellStart"/>
      <w:r w:rsidRPr="008B59D5">
        <w:rPr>
          <w:rFonts w:cs="Times New Roman"/>
          <w:sz w:val="22"/>
          <w:szCs w:val="22"/>
        </w:rPr>
        <w:t>Centres</w:t>
      </w:r>
      <w:proofErr w:type="spellEnd"/>
      <w:r w:rsidRPr="008B59D5">
        <w:rPr>
          <w:rFonts w:cs="Times New Roman"/>
          <w:sz w:val="22"/>
          <w:szCs w:val="22"/>
        </w:rPr>
        <w:t xml:space="preserve"> (2020) revealed that patient safety issues, communication, and culture were the main reasons </w:t>
      </w:r>
      <w:r w:rsidR="007D5779" w:rsidRPr="008B59D5">
        <w:rPr>
          <w:rFonts w:cs="Times New Roman"/>
          <w:sz w:val="22"/>
          <w:szCs w:val="22"/>
        </w:rPr>
        <w:t>identified by</w:t>
      </w:r>
      <w:r w:rsidRPr="008B59D5">
        <w:rPr>
          <w:rFonts w:cs="Times New Roman"/>
          <w:sz w:val="22"/>
          <w:szCs w:val="22"/>
        </w:rPr>
        <w:t xml:space="preserve"> five of the eight hospitals as the causes of recurring complications </w:t>
      </w:r>
      <w:r w:rsidRPr="008B59D5">
        <w:rPr>
          <w:rFonts w:cs="Times New Roman"/>
          <w:sz w:val="22"/>
          <w:szCs w:val="22"/>
        </w:rPr>
        <w:fldChar w:fldCharType="begin"/>
      </w:r>
      <w:r w:rsidR="007F2092" w:rsidRPr="008B59D5">
        <w:rPr>
          <w:rFonts w:cs="Times New Roman"/>
          <w:sz w:val="22"/>
          <w:szCs w:val="22"/>
        </w:rPr>
        <w:instrText xml:space="preserve"> ADDIN EN.CITE &lt;EndNote&gt;&lt;Cite&gt;&lt;Author&gt;Bos&lt;/Author&gt;&lt;Year&gt;2020&lt;/Year&gt;&lt;RecNum&gt;161&lt;/RecNum&gt;&lt;DisplayText&gt;(31)&lt;/DisplayText&gt;&lt;record&gt;&lt;rec-number&gt;161&lt;/rec-number&gt;&lt;foreign-keys&gt;&lt;key app="EN" db-id="atd5wdxd65z0fqe520up2zer9v5w20swx5az" timestamp="1723401122"&gt;161&lt;/key&gt;&lt;/foreign-keys&gt;&lt;ref-type name="Journal Article"&gt;17&lt;/ref-type&gt;&lt;contributors&gt;&lt;authors&gt;&lt;author&gt;Bos, Kelly&lt;/author&gt;&lt;author&gt;Dongelmans, Dave A&lt;/author&gt;&lt;author&gt;Greuters, Sjoerd&lt;/author&gt;&lt;author&gt;Kamps, Gert-Jan&lt;/author&gt;&lt;author&gt;Van Der Laan, Maarten J&lt;/author&gt;&lt;/authors&gt;&lt;/contributors&gt;&lt;titles&gt;&lt;title&gt;The next step in learning from sentinel events in healthcare&lt;/title&gt;&lt;secondary-title&gt;BMJ open quality&lt;/secondary-title&gt;&lt;/titles&gt;&lt;periodical&gt;&lt;full-title&gt;BMJ open quality&lt;/full-title&gt;&lt;/periodical&gt;&lt;pages&gt;e000739&lt;/pages&gt;&lt;volume&gt;9&lt;/volume&gt;&lt;number&gt;1&lt;/number&gt;&lt;dates&gt;&lt;year&gt;2020&lt;/year&gt;&lt;/dates&gt;&lt;isbn&gt;2399-6641&lt;/isbn&gt;&lt;urls&gt;&lt;/urls&gt;&lt;/record&gt;&lt;/Cite&gt;&lt;/EndNote&gt;</w:instrText>
      </w:r>
      <w:r w:rsidRPr="008B59D5">
        <w:rPr>
          <w:rFonts w:cs="Times New Roman"/>
          <w:sz w:val="22"/>
          <w:szCs w:val="22"/>
        </w:rPr>
        <w:fldChar w:fldCharType="separate"/>
      </w:r>
      <w:r w:rsidR="007F2092" w:rsidRPr="008B59D5">
        <w:rPr>
          <w:rFonts w:cs="Times New Roman"/>
          <w:noProof/>
          <w:sz w:val="22"/>
          <w:szCs w:val="22"/>
        </w:rPr>
        <w:t>(31)</w:t>
      </w:r>
      <w:r w:rsidRPr="008B59D5">
        <w:rPr>
          <w:rFonts w:cs="Times New Roman"/>
          <w:sz w:val="22"/>
          <w:szCs w:val="22"/>
        </w:rPr>
        <w:fldChar w:fldCharType="end"/>
      </w:r>
      <w:r w:rsidRPr="008B59D5">
        <w:rPr>
          <w:rFonts w:cs="Times New Roman"/>
          <w:sz w:val="22"/>
          <w:szCs w:val="22"/>
        </w:rPr>
        <w:t xml:space="preserve">. Additionally, </w:t>
      </w:r>
      <w:r w:rsidR="007D5779" w:rsidRPr="008B59D5">
        <w:rPr>
          <w:rFonts w:cs="Times New Roman"/>
          <w:sz w:val="22"/>
          <w:szCs w:val="22"/>
        </w:rPr>
        <w:t xml:space="preserve">a study </w:t>
      </w:r>
      <w:r w:rsidR="008F65A8" w:rsidRPr="008B59D5">
        <w:rPr>
          <w:rFonts w:cs="Times New Roman"/>
          <w:sz w:val="22"/>
          <w:szCs w:val="22"/>
        </w:rPr>
        <w:t>conducted in Saudi Arabia found that poor regulations and guidelines, inadequate communication, staff shortages, and a lack of competencies were the main factors contributing to the underreporting</w:t>
      </w:r>
      <w:r w:rsidRPr="008B59D5">
        <w:rPr>
          <w:rFonts w:cs="Times New Roman"/>
          <w:sz w:val="22"/>
          <w:szCs w:val="22"/>
        </w:rPr>
        <w:t xml:space="preserve"> of patient safety incidents in hospitals </w:t>
      </w:r>
      <w:r w:rsidRPr="008B59D5">
        <w:rPr>
          <w:rFonts w:cs="Times New Roman"/>
          <w:sz w:val="22"/>
          <w:szCs w:val="22"/>
        </w:rPr>
        <w:fldChar w:fldCharType="begin"/>
      </w:r>
      <w:r w:rsidR="007F2092" w:rsidRPr="008B59D5">
        <w:rPr>
          <w:rFonts w:cs="Times New Roman"/>
          <w:sz w:val="22"/>
          <w:szCs w:val="22"/>
        </w:rPr>
        <w:instrText xml:space="preserve"> ADDIN EN.CITE &lt;EndNote&gt;&lt;Cite&gt;&lt;Author&gt;Altalhi&lt;/Author&gt;&lt;Year&gt;2021&lt;/Year&gt;&lt;RecNum&gt;162&lt;/RecNum&gt;&lt;DisplayText&gt;(32)&lt;/DisplayText&gt;&lt;record&gt;&lt;rec-number&gt;162&lt;/rec-number&gt;&lt;foreign-keys&gt;&lt;key app="EN" db-id="atd5wdxd65z0fqe520up2zer9v5w20swx5az" timestamp="1723401164"&gt;162&lt;/key&gt;&lt;/foreign-keys&gt;&lt;ref-type name="Journal Article"&gt;17&lt;/ref-type&gt;&lt;contributors&gt;&lt;authors&gt;&lt;author&gt;Altalhi, Nasser&lt;/author&gt;&lt;author&gt;Alnaimi, Haifa&lt;/author&gt;&lt;author&gt;Chaouali, Mafaten&lt;/author&gt;&lt;author&gt;Alahmari, Falaa&lt;/author&gt;&lt;author&gt;Alabdulkareem, Noor&lt;/author&gt;&lt;author&gt;Alaama, Tareef&lt;/author&gt;&lt;/authors&gt;&lt;/contributors&gt;&lt;titles&gt;&lt;title&gt;Top four types of sentinel events in Saudi Arabia during the period 2016–19&lt;/title&gt;&lt;secondary-title&gt;International Journal for Quality in Health Care&lt;/secondary-title&gt;&lt;/titles&gt;&lt;periodical&gt;&lt;full-title&gt;International Journal for Quality in Health Care&lt;/full-title&gt;&lt;/periodical&gt;&lt;pages&gt;mzab026&lt;/pages&gt;&lt;volume&gt;33&lt;/volume&gt;&lt;number&gt;1&lt;/number&gt;&lt;dates&gt;&lt;year&gt;2021&lt;/year&gt;&lt;/dates&gt;&lt;isbn&gt;1353-4505&lt;/isbn&gt;&lt;urls&gt;&lt;/urls&gt;&lt;/record&gt;&lt;/Cite&gt;&lt;/EndNote&gt;</w:instrText>
      </w:r>
      <w:r w:rsidRPr="008B59D5">
        <w:rPr>
          <w:rFonts w:cs="Times New Roman"/>
          <w:sz w:val="22"/>
          <w:szCs w:val="22"/>
        </w:rPr>
        <w:fldChar w:fldCharType="separate"/>
      </w:r>
      <w:r w:rsidR="007F2092" w:rsidRPr="008B59D5">
        <w:rPr>
          <w:rFonts w:cs="Times New Roman"/>
          <w:noProof/>
          <w:sz w:val="22"/>
          <w:szCs w:val="22"/>
        </w:rPr>
        <w:t>(32)</w:t>
      </w:r>
      <w:r w:rsidRPr="008B59D5">
        <w:rPr>
          <w:rFonts w:cs="Times New Roman"/>
          <w:sz w:val="22"/>
          <w:szCs w:val="22"/>
        </w:rPr>
        <w:fldChar w:fldCharType="end"/>
      </w:r>
      <w:r w:rsidRPr="008B59D5">
        <w:rPr>
          <w:rFonts w:cs="Times New Roman"/>
          <w:sz w:val="22"/>
          <w:szCs w:val="22"/>
        </w:rPr>
        <w:t>.</w:t>
      </w:r>
    </w:p>
    <w:p w14:paraId="5CA9E707" w14:textId="187FEF69" w:rsidR="007039FE" w:rsidRPr="008B59D5" w:rsidRDefault="00F44C3A" w:rsidP="008B59D5">
      <w:pPr>
        <w:spacing w:line="240" w:lineRule="auto"/>
        <w:rPr>
          <w:rFonts w:cs="Times New Roman"/>
          <w:sz w:val="22"/>
          <w:szCs w:val="22"/>
        </w:rPr>
      </w:pPr>
      <w:r w:rsidRPr="008B59D5">
        <w:rPr>
          <w:rFonts w:cs="Times New Roman"/>
          <w:sz w:val="22"/>
          <w:szCs w:val="22"/>
        </w:rPr>
        <w:t>Consequently</w:t>
      </w:r>
      <w:r w:rsidR="007039FE" w:rsidRPr="008B59D5">
        <w:rPr>
          <w:rFonts w:cs="Times New Roman"/>
          <w:sz w:val="22"/>
          <w:szCs w:val="22"/>
        </w:rPr>
        <w:t xml:space="preserve">, reporting systems and patient safety activities could be enhanced </w:t>
      </w:r>
      <w:r w:rsidR="007D5779" w:rsidRPr="008B59D5">
        <w:rPr>
          <w:rFonts w:cs="Times New Roman"/>
          <w:sz w:val="22"/>
          <w:szCs w:val="22"/>
        </w:rPr>
        <w:t>by</w:t>
      </w:r>
      <w:r w:rsidR="007039FE" w:rsidRPr="008B59D5">
        <w:rPr>
          <w:rFonts w:cs="Times New Roman"/>
          <w:sz w:val="22"/>
          <w:szCs w:val="22"/>
        </w:rPr>
        <w:t xml:space="preserve"> </w:t>
      </w:r>
      <w:r w:rsidR="007D5779" w:rsidRPr="008B59D5">
        <w:rPr>
          <w:rFonts w:cs="Times New Roman"/>
          <w:sz w:val="22"/>
          <w:szCs w:val="22"/>
        </w:rPr>
        <w:t>eliminating</w:t>
      </w:r>
      <w:r w:rsidR="007039FE" w:rsidRPr="008B59D5">
        <w:rPr>
          <w:rFonts w:cs="Times New Roman"/>
          <w:sz w:val="22"/>
          <w:szCs w:val="22"/>
        </w:rPr>
        <w:t xml:space="preserve"> barriers and </w:t>
      </w:r>
      <w:r w:rsidR="007D5779" w:rsidRPr="008B59D5">
        <w:rPr>
          <w:rFonts w:cs="Times New Roman"/>
          <w:sz w:val="22"/>
          <w:szCs w:val="22"/>
        </w:rPr>
        <w:t>establishing</w:t>
      </w:r>
      <w:r w:rsidR="007039FE" w:rsidRPr="008B59D5">
        <w:rPr>
          <w:rFonts w:cs="Times New Roman"/>
          <w:sz w:val="22"/>
          <w:szCs w:val="22"/>
        </w:rPr>
        <w:t xml:space="preserve"> a non</w:t>
      </w:r>
      <w:r w:rsidR="007D5779" w:rsidRPr="008B59D5">
        <w:rPr>
          <w:rFonts w:cs="Times New Roman"/>
          <w:sz w:val="22"/>
          <w:szCs w:val="22"/>
        </w:rPr>
        <w:t>-</w:t>
      </w:r>
      <w:r w:rsidR="007039FE" w:rsidRPr="008B59D5">
        <w:rPr>
          <w:rFonts w:cs="Times New Roman"/>
          <w:sz w:val="22"/>
          <w:szCs w:val="22"/>
        </w:rPr>
        <w:t xml:space="preserve">punitive, non-blaming learning organization environment </w:t>
      </w:r>
      <w:r w:rsidRPr="008B59D5">
        <w:rPr>
          <w:rFonts w:cs="Times New Roman"/>
          <w:sz w:val="22"/>
          <w:szCs w:val="22"/>
        </w:rPr>
        <w:fldChar w:fldCharType="begin"/>
      </w:r>
      <w:r w:rsidR="007F2092" w:rsidRPr="008B59D5">
        <w:rPr>
          <w:rFonts w:cs="Times New Roman"/>
          <w:sz w:val="22"/>
          <w:szCs w:val="22"/>
        </w:rPr>
        <w:instrText xml:space="preserve"> ADDIN EN.CITE &lt;EndNote&gt;&lt;Cite&gt;&lt;Author&gt;Amaniyan&lt;/Author&gt;&lt;Year&gt;2020&lt;/Year&gt;&lt;RecNum&gt;163&lt;/RecNum&gt;&lt;DisplayText&gt;(33, 34)&lt;/DisplayText&gt;&lt;record&gt;&lt;rec-number&gt;163&lt;/rec-number&gt;&lt;foreign-keys&gt;&lt;key app="EN" db-id="atd5wdxd65z0fqe520up2zer9v5w20swx5az" timestamp="1723401199"&gt;163&lt;/key&gt;&lt;/foreign-keys&gt;&lt;ref-type name="Journal Article"&gt;17&lt;/ref-type&gt;&lt;contributors&gt;&lt;authors&gt;&lt;author&gt;Amaniyan, Sara&lt;/author&gt;&lt;author&gt;Faldaas, Bjørn Ove&lt;/author&gt;&lt;author&gt;Logan, Patricia A&lt;/author&gt;&lt;author&gt;Vaismoradi, Mojtaba&lt;/author&gt;&lt;/authors&gt;&lt;/contributors&gt;&lt;titles&gt;&lt;title&gt;Learning from patient safety incidents in the emergency department: a systematic review&lt;/title&gt;&lt;secondary-title&gt;The Journal of emergency medicine&lt;/secondary-title&gt;&lt;/titles&gt;&lt;periodical&gt;&lt;full-title&gt;The Journal of emergency medicine&lt;/full-title&gt;&lt;/periodical&gt;&lt;pages&gt;234-244&lt;/pages&gt;&lt;volume&gt;58&lt;/volume&gt;&lt;number&gt;2&lt;/number&gt;&lt;dates&gt;&lt;year&gt;2020&lt;/year&gt;&lt;/dates&gt;&lt;isbn&gt;0736-4679&lt;/isbn&gt;&lt;urls&gt;&lt;/urls&gt;&lt;/record&gt;&lt;/Cite&gt;&lt;Cite&gt;&lt;Author&gt;Stavropoulou&lt;/Author&gt;&lt;Year&gt;2015&lt;/Year&gt;&lt;RecNum&gt;9&lt;/RecNum&gt;&lt;record&gt;&lt;rec-number&gt;9&lt;/rec-number&gt;&lt;foreign-keys&gt;&lt;key app="EN" db-id="r0we05v99p5de0eaertxvtpjexfvdf9dfxff" timestamp="1735018401"&gt;9&lt;/key&gt;&lt;/foreign-keys&gt;&lt;ref-type name="Journal Article"&gt;17&lt;/ref-type&gt;&lt;contributors&gt;&lt;authors&gt;&lt;author&gt;Stavropoulou, Charitini&lt;/author&gt;&lt;author&gt;Doherty, Carole&lt;/author&gt;&lt;author&gt;Tosey, Paul&lt;/author&gt;&lt;/authors&gt;&lt;/contributors&gt;&lt;titles&gt;&lt;title&gt;How effective are incident‐reporting systems for improving patient safety? A systematic literature review&lt;/title&gt;&lt;secondary-title&gt;The Milbank Quarterly&lt;/secondary-title&gt;&lt;/titles&gt;&lt;periodical&gt;&lt;full-title&gt;The Milbank Quarterly&lt;/full-title&gt;&lt;/periodical&gt;&lt;pages&gt;826-866&lt;/pages&gt;&lt;volume&gt;93&lt;/volume&gt;&lt;number&gt;4&lt;/number&gt;&lt;dates&gt;&lt;year&gt;2015&lt;/year&gt;&lt;/dates&gt;&lt;isbn&gt;0887-378X&lt;/isbn&gt;&lt;urls&gt;&lt;/urls&gt;&lt;/record&gt;&lt;/Cite&gt;&lt;/EndNote&gt;</w:instrText>
      </w:r>
      <w:r w:rsidRPr="008B59D5">
        <w:rPr>
          <w:rFonts w:cs="Times New Roman"/>
          <w:sz w:val="22"/>
          <w:szCs w:val="22"/>
        </w:rPr>
        <w:fldChar w:fldCharType="separate"/>
      </w:r>
      <w:r w:rsidR="007F2092" w:rsidRPr="008B59D5">
        <w:rPr>
          <w:rFonts w:cs="Times New Roman"/>
          <w:noProof/>
          <w:sz w:val="22"/>
          <w:szCs w:val="22"/>
        </w:rPr>
        <w:t>(33, 34)</w:t>
      </w:r>
      <w:r w:rsidRPr="008B59D5">
        <w:rPr>
          <w:rFonts w:cs="Times New Roman"/>
          <w:sz w:val="22"/>
          <w:szCs w:val="22"/>
        </w:rPr>
        <w:fldChar w:fldCharType="end"/>
      </w:r>
      <w:r w:rsidRPr="008B59D5">
        <w:rPr>
          <w:rFonts w:cs="Times New Roman"/>
          <w:sz w:val="22"/>
          <w:szCs w:val="22"/>
        </w:rPr>
        <w:t>. These factors were</w:t>
      </w:r>
      <w:r w:rsidR="007039FE" w:rsidRPr="008B59D5">
        <w:rPr>
          <w:rFonts w:cs="Times New Roman"/>
          <w:sz w:val="22"/>
          <w:szCs w:val="22"/>
        </w:rPr>
        <w:t xml:space="preserve"> consistent with our idea that the most </w:t>
      </w:r>
      <w:r w:rsidR="007D5779" w:rsidRPr="008B59D5">
        <w:rPr>
          <w:rFonts w:cs="Times New Roman"/>
          <w:sz w:val="22"/>
          <w:szCs w:val="22"/>
        </w:rPr>
        <w:t>valuable</w:t>
      </w:r>
      <w:r w:rsidR="007039FE" w:rsidRPr="008B59D5">
        <w:rPr>
          <w:rFonts w:cs="Times New Roman"/>
          <w:sz w:val="22"/>
          <w:szCs w:val="22"/>
        </w:rPr>
        <w:t xml:space="preserve"> </w:t>
      </w:r>
      <w:r w:rsidR="008F65A8" w:rsidRPr="008B59D5">
        <w:rPr>
          <w:rFonts w:cs="Times New Roman"/>
          <w:sz w:val="22"/>
          <w:szCs w:val="22"/>
        </w:rPr>
        <w:t>way to</w:t>
      </w:r>
      <w:r w:rsidR="007039FE" w:rsidRPr="008B59D5">
        <w:rPr>
          <w:rFonts w:cs="Times New Roman"/>
          <w:sz w:val="22"/>
          <w:szCs w:val="22"/>
        </w:rPr>
        <w:t xml:space="preserve"> communicat</w:t>
      </w:r>
      <w:r w:rsidR="008F65A8" w:rsidRPr="008B59D5">
        <w:rPr>
          <w:rFonts w:cs="Times New Roman"/>
          <w:sz w:val="22"/>
          <w:szCs w:val="22"/>
        </w:rPr>
        <w:t>e</w:t>
      </w:r>
      <w:r w:rsidR="007039FE" w:rsidRPr="008B59D5">
        <w:rPr>
          <w:rFonts w:cs="Times New Roman"/>
          <w:sz w:val="22"/>
          <w:szCs w:val="22"/>
        </w:rPr>
        <w:t xml:space="preserve"> lessons learned </w:t>
      </w:r>
      <w:r w:rsidR="008F65A8" w:rsidRPr="008B59D5">
        <w:rPr>
          <w:rFonts w:cs="Times New Roman"/>
          <w:sz w:val="22"/>
          <w:szCs w:val="22"/>
        </w:rPr>
        <w:t>from</w:t>
      </w:r>
      <w:r w:rsidR="007039FE" w:rsidRPr="008B59D5">
        <w:rPr>
          <w:rFonts w:cs="Times New Roman"/>
          <w:sz w:val="22"/>
          <w:szCs w:val="22"/>
        </w:rPr>
        <w:t xml:space="preserve"> patient safety events to personnel is to increase their awareness and improve their activities, which can be accomplished through alerts, meetings, newspapers, and presentations.</w:t>
      </w:r>
    </w:p>
    <w:p w14:paraId="79D65DFE" w14:textId="2FE0CAA4" w:rsidR="007501CB" w:rsidRPr="008B59D5" w:rsidRDefault="007B18F0" w:rsidP="008B59D5">
      <w:pPr>
        <w:spacing w:line="240" w:lineRule="auto"/>
        <w:rPr>
          <w:rFonts w:cs="Times New Roman"/>
          <w:sz w:val="22"/>
          <w:szCs w:val="22"/>
        </w:rPr>
      </w:pPr>
      <w:r w:rsidRPr="008B59D5">
        <w:rPr>
          <w:rFonts w:cs="Times New Roman"/>
          <w:sz w:val="22"/>
          <w:szCs w:val="22"/>
        </w:rPr>
        <w:t xml:space="preserve">This study </w:t>
      </w:r>
      <w:r w:rsidR="008F65A8" w:rsidRPr="008B59D5">
        <w:rPr>
          <w:rFonts w:cs="Times New Roman"/>
          <w:sz w:val="22"/>
          <w:szCs w:val="22"/>
        </w:rPr>
        <w:t>lacked data on reporters' job titles, which prevented us from determining awareness levels across</w:t>
      </w:r>
      <w:r w:rsidRPr="008B59D5">
        <w:rPr>
          <w:rFonts w:cs="Times New Roman"/>
          <w:sz w:val="22"/>
          <w:szCs w:val="22"/>
        </w:rPr>
        <w:t xml:space="preserve"> different types of report</w:t>
      </w:r>
      <w:r w:rsidR="007D5779" w:rsidRPr="008B59D5">
        <w:rPr>
          <w:rFonts w:cs="Times New Roman"/>
          <w:sz w:val="22"/>
          <w:szCs w:val="22"/>
        </w:rPr>
        <w:t>er</w:t>
      </w:r>
      <w:r w:rsidRPr="008B59D5">
        <w:rPr>
          <w:rFonts w:cs="Times New Roman"/>
          <w:sz w:val="22"/>
          <w:szCs w:val="22"/>
        </w:rPr>
        <w:t>s</w:t>
      </w:r>
      <w:r w:rsidR="003A0445" w:rsidRPr="008B59D5">
        <w:rPr>
          <w:rFonts w:cs="Times New Roman"/>
          <w:sz w:val="22"/>
          <w:szCs w:val="22"/>
        </w:rPr>
        <w:t xml:space="preserve">. According </w:t>
      </w:r>
      <w:r w:rsidRPr="008B59D5">
        <w:rPr>
          <w:rFonts w:cs="Times New Roman"/>
          <w:sz w:val="22"/>
          <w:szCs w:val="22"/>
        </w:rPr>
        <w:t>to Albarrak et al</w:t>
      </w:r>
      <w:r w:rsidR="007D5779" w:rsidRPr="008B59D5">
        <w:rPr>
          <w:rFonts w:cs="Times New Roman"/>
          <w:sz w:val="22"/>
          <w:szCs w:val="22"/>
        </w:rPr>
        <w:t>.</w:t>
      </w:r>
      <w:r w:rsidRPr="008B59D5">
        <w:rPr>
          <w:rFonts w:cs="Times New Roman"/>
          <w:sz w:val="22"/>
          <w:szCs w:val="22"/>
        </w:rPr>
        <w:t xml:space="preserve"> (2020),</w:t>
      </w:r>
      <w:r w:rsidR="003A0445" w:rsidRPr="008B59D5">
        <w:rPr>
          <w:rFonts w:cs="Times New Roman"/>
          <w:sz w:val="22"/>
          <w:szCs w:val="22"/>
        </w:rPr>
        <w:t xml:space="preserve"> nurses had </w:t>
      </w:r>
      <w:r w:rsidRPr="008B59D5">
        <w:rPr>
          <w:rFonts w:cs="Times New Roman"/>
          <w:sz w:val="22"/>
          <w:szCs w:val="22"/>
        </w:rPr>
        <w:t>significantly more</w:t>
      </w:r>
      <w:r w:rsidR="003A0445" w:rsidRPr="008B59D5">
        <w:rPr>
          <w:rFonts w:cs="Times New Roman"/>
          <w:sz w:val="22"/>
          <w:szCs w:val="22"/>
        </w:rPr>
        <w:t xml:space="preserve"> understanding of how </w:t>
      </w:r>
      <w:r w:rsidRPr="008B59D5">
        <w:rPr>
          <w:rFonts w:cs="Times New Roman"/>
          <w:sz w:val="22"/>
          <w:szCs w:val="22"/>
        </w:rPr>
        <w:t>to access the OVR system to file</w:t>
      </w:r>
      <w:r w:rsidR="003A0445" w:rsidRPr="008B59D5">
        <w:rPr>
          <w:rFonts w:cs="Times New Roman"/>
          <w:sz w:val="22"/>
          <w:szCs w:val="22"/>
        </w:rPr>
        <w:t xml:space="preserve"> a report</w:t>
      </w:r>
      <w:r w:rsidR="007D5779" w:rsidRPr="008B59D5">
        <w:rPr>
          <w:rFonts w:cs="Times New Roman"/>
          <w:sz w:val="22"/>
          <w:szCs w:val="22"/>
        </w:rPr>
        <w:t>,</w:t>
      </w:r>
      <w:r w:rsidR="003A0445" w:rsidRPr="008B59D5">
        <w:rPr>
          <w:rFonts w:cs="Times New Roman"/>
          <w:sz w:val="22"/>
          <w:szCs w:val="22"/>
        </w:rPr>
        <w:t xml:space="preserve"> </w:t>
      </w:r>
      <w:r w:rsidRPr="008B59D5">
        <w:rPr>
          <w:rFonts w:cs="Times New Roman"/>
          <w:sz w:val="22"/>
          <w:szCs w:val="22"/>
        </w:rPr>
        <w:t>with 98% awareness (</w:t>
      </w:r>
      <w:r w:rsidR="003A0445" w:rsidRPr="008B59D5">
        <w:rPr>
          <w:rFonts w:cs="Times New Roman"/>
          <w:sz w:val="22"/>
          <w:szCs w:val="22"/>
        </w:rPr>
        <w:t>p &lt; 0.001)</w:t>
      </w:r>
      <w:r w:rsidR="007D5779" w:rsidRPr="008B59D5">
        <w:rPr>
          <w:rFonts w:cs="Times New Roman"/>
          <w:sz w:val="22"/>
          <w:szCs w:val="22"/>
        </w:rPr>
        <w:t>,</w:t>
      </w:r>
      <w:r w:rsidR="003A0445" w:rsidRPr="008B59D5">
        <w:rPr>
          <w:rFonts w:cs="Times New Roman"/>
          <w:sz w:val="22"/>
          <w:szCs w:val="22"/>
        </w:rPr>
        <w:t xml:space="preserve"> </w:t>
      </w:r>
      <w:r w:rsidRPr="008B59D5">
        <w:rPr>
          <w:rFonts w:cs="Times New Roman"/>
          <w:sz w:val="22"/>
          <w:szCs w:val="22"/>
        </w:rPr>
        <w:t>compared to 45.8% among physicians</w:t>
      </w:r>
      <w:r w:rsidR="00AB518C" w:rsidRPr="008B59D5">
        <w:rPr>
          <w:rFonts w:cs="Times New Roman"/>
          <w:sz w:val="22"/>
          <w:szCs w:val="22"/>
        </w:rPr>
        <w:t xml:space="preserve"> </w:t>
      </w:r>
      <w:r w:rsidR="00AB518C" w:rsidRPr="008B59D5">
        <w:rPr>
          <w:rFonts w:cs="Times New Roman"/>
          <w:sz w:val="22"/>
          <w:szCs w:val="22"/>
        </w:rPr>
        <w:fldChar w:fldCharType="begin"/>
      </w:r>
      <w:r w:rsidR="007F2092" w:rsidRPr="008B59D5">
        <w:rPr>
          <w:rFonts w:cs="Times New Roman"/>
          <w:sz w:val="22"/>
          <w:szCs w:val="22"/>
        </w:rPr>
        <w:instrText xml:space="preserve"> ADDIN EN.CITE &lt;EndNote&gt;&lt;Cite&gt;&lt;Author&gt;Albarrak&lt;/Author&gt;&lt;Year&gt;2020&lt;/Year&gt;&lt;RecNum&gt;135&lt;/RecNum&gt;&lt;DisplayText&gt;(9)&lt;/DisplayText&gt;&lt;record&gt;&lt;rec-number&gt;135&lt;/rec-number&gt;&lt;foreign-keys&gt;&lt;key app="EN" db-id="atd5wdxd65z0fqe520up2zer9v5w20swx5az" timestamp="1723188015"&gt;135&lt;/key&gt;&lt;/foreign-keys&gt;&lt;ref-type name="Journal Article"&gt;17&lt;/ref-type&gt;&lt;contributors&gt;&lt;authors&gt;&lt;author&gt;Albarrak, Ahmed I&lt;/author&gt;&lt;author&gt;Almansour, Ammar S&lt;/author&gt;&lt;author&gt;Alzahrani, Ali A&lt;/author&gt;&lt;author&gt;Almalki, Abdulaziz H&lt;/author&gt;&lt;author&gt;Alshehri, Abdulrahman A&lt;/author&gt;&lt;author&gt;Mohammed, Rafiuddin&lt;/author&gt;&lt;/authors&gt;&lt;/contributors&gt;&lt;titles&gt;&lt;title&gt;Assessment of patient safety challenges and electronic occurrence variance reporting (e-OVR) barriers facing physicians and nurses in the emergency department: a cross sectional study&lt;/title&gt;&lt;secondary-title&gt;BMC emergency medicine&lt;/secondary-title&gt;&lt;/titles&gt;&lt;periodical&gt;&lt;full-title&gt;BMC emergency medicine&lt;/full-title&gt;&lt;/periodical&gt;&lt;pages&gt;1-8&lt;/pages&gt;&lt;volume&gt;20&lt;/volume&gt;&lt;dates&gt;&lt;year&gt;2020&lt;/year&gt;&lt;/dates&gt;&lt;urls&gt;&lt;/urls&gt;&lt;/record&gt;&lt;/Cite&gt;&lt;/EndNote&gt;</w:instrText>
      </w:r>
      <w:r w:rsidR="00AB518C" w:rsidRPr="008B59D5">
        <w:rPr>
          <w:rFonts w:cs="Times New Roman"/>
          <w:sz w:val="22"/>
          <w:szCs w:val="22"/>
        </w:rPr>
        <w:fldChar w:fldCharType="separate"/>
      </w:r>
      <w:r w:rsidR="007F2092" w:rsidRPr="008B59D5">
        <w:rPr>
          <w:rFonts w:cs="Times New Roman"/>
          <w:noProof/>
          <w:sz w:val="22"/>
          <w:szCs w:val="22"/>
        </w:rPr>
        <w:t>(9)</w:t>
      </w:r>
      <w:r w:rsidR="00AB518C" w:rsidRPr="008B59D5">
        <w:rPr>
          <w:rFonts w:cs="Times New Roman"/>
          <w:sz w:val="22"/>
          <w:szCs w:val="22"/>
        </w:rPr>
        <w:fldChar w:fldCharType="end"/>
      </w:r>
      <w:r w:rsidR="003A0445" w:rsidRPr="008B59D5">
        <w:rPr>
          <w:rFonts w:cs="Times New Roman"/>
          <w:sz w:val="22"/>
          <w:szCs w:val="22"/>
        </w:rPr>
        <w:t xml:space="preserve">. </w:t>
      </w:r>
      <w:r w:rsidRPr="008B59D5">
        <w:rPr>
          <w:rFonts w:cs="Times New Roman"/>
          <w:sz w:val="22"/>
          <w:szCs w:val="22"/>
        </w:rPr>
        <w:t xml:space="preserve">This outcome </w:t>
      </w:r>
      <w:r w:rsidR="00651DF1" w:rsidRPr="008B59D5">
        <w:rPr>
          <w:rFonts w:cs="Times New Roman"/>
          <w:sz w:val="22"/>
          <w:szCs w:val="22"/>
        </w:rPr>
        <w:t xml:space="preserve">has been </w:t>
      </w:r>
      <w:r w:rsidRPr="008B59D5">
        <w:rPr>
          <w:rFonts w:cs="Times New Roman"/>
          <w:sz w:val="22"/>
          <w:szCs w:val="22"/>
        </w:rPr>
        <w:t xml:space="preserve">attributed to </w:t>
      </w:r>
      <w:r w:rsidR="008F65A8" w:rsidRPr="008B59D5">
        <w:rPr>
          <w:rFonts w:cs="Times New Roman"/>
          <w:sz w:val="22"/>
          <w:szCs w:val="22"/>
        </w:rPr>
        <w:t>pharmacists'</w:t>
      </w:r>
      <w:r w:rsidRPr="008B59D5">
        <w:rPr>
          <w:rFonts w:cs="Times New Roman"/>
          <w:sz w:val="22"/>
          <w:szCs w:val="22"/>
        </w:rPr>
        <w:t xml:space="preserve"> strong commitment </w:t>
      </w:r>
      <w:r w:rsidR="007D5779" w:rsidRPr="008B59D5">
        <w:rPr>
          <w:rFonts w:cs="Times New Roman"/>
          <w:sz w:val="22"/>
          <w:szCs w:val="22"/>
        </w:rPr>
        <w:t>to</w:t>
      </w:r>
      <w:r w:rsidRPr="008B59D5">
        <w:rPr>
          <w:rFonts w:cs="Times New Roman"/>
          <w:sz w:val="22"/>
          <w:szCs w:val="22"/>
        </w:rPr>
        <w:t xml:space="preserve"> safety and their efforts </w:t>
      </w:r>
      <w:r w:rsidR="007D5779" w:rsidRPr="008B59D5">
        <w:rPr>
          <w:rFonts w:cs="Times New Roman"/>
          <w:sz w:val="22"/>
          <w:szCs w:val="22"/>
        </w:rPr>
        <w:t>to reduce</w:t>
      </w:r>
      <w:r w:rsidRPr="008B59D5">
        <w:rPr>
          <w:rFonts w:cs="Times New Roman"/>
          <w:sz w:val="22"/>
          <w:szCs w:val="22"/>
        </w:rPr>
        <w:t xml:space="preserve"> errors. According to</w:t>
      </w:r>
      <w:r w:rsidR="008767C8" w:rsidRPr="008B59D5">
        <w:rPr>
          <w:rFonts w:cs="Times New Roman"/>
          <w:sz w:val="22"/>
          <w:szCs w:val="22"/>
        </w:rPr>
        <w:t xml:space="preserve"> </w:t>
      </w:r>
      <w:r w:rsidR="007D5779" w:rsidRPr="008B59D5">
        <w:rPr>
          <w:rFonts w:cs="Times New Roman"/>
          <w:sz w:val="22"/>
          <w:szCs w:val="22"/>
        </w:rPr>
        <w:t>Sikora (2023), pharmacists typically engage in indirect patient care following the direct care provided by nurses</w:t>
      </w:r>
      <w:r w:rsidR="008767C8" w:rsidRPr="008B59D5">
        <w:rPr>
          <w:rFonts w:cs="Times New Roman"/>
          <w:sz w:val="22"/>
          <w:szCs w:val="22"/>
        </w:rPr>
        <w:t xml:space="preserve"> </w:t>
      </w:r>
      <w:r w:rsidR="008767C8" w:rsidRPr="008B59D5">
        <w:rPr>
          <w:rFonts w:cs="Times New Roman"/>
          <w:sz w:val="22"/>
          <w:szCs w:val="22"/>
        </w:rPr>
        <w:fldChar w:fldCharType="begin"/>
      </w:r>
      <w:r w:rsidR="007F2092" w:rsidRPr="008B59D5">
        <w:rPr>
          <w:rFonts w:cs="Times New Roman"/>
          <w:sz w:val="22"/>
          <w:szCs w:val="22"/>
        </w:rPr>
        <w:instrText xml:space="preserve"> ADDIN EN.CITE &lt;EndNote&gt;&lt;Cite&gt;&lt;Author&gt;Sikora&lt;/Author&gt;&lt;Year&gt;2023&lt;/Year&gt;&lt;RecNum&gt;164&lt;/RecNum&gt;&lt;DisplayText&gt;(35)&lt;/DisplayText&gt;&lt;record&gt;&lt;rec-number&gt;164&lt;/rec-number&gt;&lt;foreign-keys&gt;&lt;key app="EN" db-id="atd5wdxd65z0fqe520up2zer9v5w20swx5az" timestamp="1723401429"&gt;164&lt;/key&gt;&lt;/foreign-keys&gt;&lt;ref-type name="Journal Article"&gt;17&lt;/ref-type&gt;&lt;contributors&gt;&lt;authors&gt;&lt;author&gt;Sikora, Andrea&lt;/author&gt;&lt;/authors&gt;&lt;/contributors&gt;&lt;titles&gt;&lt;title&gt;Critical care pharmacists: a focus on horizons&lt;/title&gt;&lt;secondary-title&gt;Critical Care Clinics&lt;/secondary-title&gt;&lt;/titles&gt;&lt;periodical&gt;&lt;full-title&gt;Critical Care Clinics&lt;/full-title&gt;&lt;/periodical&gt;&lt;pages&gt;503-527&lt;/pages&gt;&lt;volume&gt;39&lt;/volume&gt;&lt;number&gt;3&lt;/number&gt;&lt;dates&gt;&lt;year&gt;2023&lt;/year&gt;&lt;/dates&gt;&lt;isbn&gt;0749-0704&lt;/isbn&gt;&lt;urls&gt;&lt;/urls&gt;&lt;/record&gt;&lt;/Cite&gt;&lt;/EndNote&gt;</w:instrText>
      </w:r>
      <w:r w:rsidR="008767C8" w:rsidRPr="008B59D5">
        <w:rPr>
          <w:rFonts w:cs="Times New Roman"/>
          <w:sz w:val="22"/>
          <w:szCs w:val="22"/>
        </w:rPr>
        <w:fldChar w:fldCharType="separate"/>
      </w:r>
      <w:r w:rsidR="007F2092" w:rsidRPr="008B59D5">
        <w:rPr>
          <w:rFonts w:cs="Times New Roman"/>
          <w:noProof/>
          <w:sz w:val="22"/>
          <w:szCs w:val="22"/>
        </w:rPr>
        <w:t>(35)</w:t>
      </w:r>
      <w:r w:rsidR="008767C8" w:rsidRPr="008B59D5">
        <w:rPr>
          <w:rFonts w:cs="Times New Roman"/>
          <w:sz w:val="22"/>
          <w:szCs w:val="22"/>
        </w:rPr>
        <w:fldChar w:fldCharType="end"/>
      </w:r>
      <w:r w:rsidRPr="008B59D5">
        <w:rPr>
          <w:rFonts w:cs="Times New Roman"/>
          <w:sz w:val="22"/>
          <w:szCs w:val="22"/>
        </w:rPr>
        <w:t xml:space="preserve">. This allows them to focus more on detecting and preventing various mistakes. </w:t>
      </w:r>
      <w:r w:rsidR="00AB518C" w:rsidRPr="008B59D5">
        <w:rPr>
          <w:rFonts w:cs="Times New Roman"/>
          <w:sz w:val="22"/>
          <w:szCs w:val="22"/>
        </w:rPr>
        <w:t xml:space="preserve"> These findings </w:t>
      </w:r>
      <w:r w:rsidR="007D5779" w:rsidRPr="008B59D5">
        <w:rPr>
          <w:rFonts w:cs="Times New Roman"/>
          <w:sz w:val="22"/>
          <w:szCs w:val="22"/>
        </w:rPr>
        <w:t>suggest</w:t>
      </w:r>
      <w:r w:rsidR="00AB518C" w:rsidRPr="008B59D5">
        <w:rPr>
          <w:rFonts w:cs="Times New Roman"/>
          <w:sz w:val="22"/>
          <w:szCs w:val="22"/>
        </w:rPr>
        <w:t xml:space="preserve"> that future studies should explore different types of reporters and their </w:t>
      </w:r>
      <w:r w:rsidR="008F65A8" w:rsidRPr="008B59D5">
        <w:rPr>
          <w:rFonts w:cs="Times New Roman"/>
          <w:sz w:val="22"/>
          <w:szCs w:val="22"/>
        </w:rPr>
        <w:t>level</w:t>
      </w:r>
      <w:r w:rsidR="00AB518C" w:rsidRPr="008B59D5">
        <w:rPr>
          <w:rFonts w:cs="Times New Roman"/>
          <w:sz w:val="22"/>
          <w:szCs w:val="22"/>
        </w:rPr>
        <w:t xml:space="preserve">s </w:t>
      </w:r>
      <w:r w:rsidR="008F65A8" w:rsidRPr="008B59D5">
        <w:rPr>
          <w:rFonts w:cs="Times New Roman"/>
          <w:sz w:val="22"/>
          <w:szCs w:val="22"/>
        </w:rPr>
        <w:t>of awarenes</w:t>
      </w:r>
      <w:r w:rsidR="00AB518C" w:rsidRPr="008B59D5">
        <w:rPr>
          <w:rFonts w:cs="Times New Roman"/>
          <w:sz w:val="22"/>
          <w:szCs w:val="22"/>
        </w:rPr>
        <w:t xml:space="preserve">s to </w:t>
      </w:r>
      <w:r w:rsidR="008F65A8" w:rsidRPr="008B59D5">
        <w:rPr>
          <w:rFonts w:cs="Times New Roman"/>
          <w:sz w:val="22"/>
          <w:szCs w:val="22"/>
        </w:rPr>
        <w:t>understand better</w:t>
      </w:r>
      <w:r w:rsidR="007D5779" w:rsidRPr="008B59D5">
        <w:rPr>
          <w:rFonts w:cs="Times New Roman"/>
          <w:sz w:val="22"/>
          <w:szCs w:val="22"/>
        </w:rPr>
        <w:t xml:space="preserve"> </w:t>
      </w:r>
      <w:r w:rsidR="00AB518C" w:rsidRPr="008B59D5">
        <w:rPr>
          <w:rFonts w:cs="Times New Roman"/>
          <w:sz w:val="22"/>
          <w:szCs w:val="22"/>
        </w:rPr>
        <w:t xml:space="preserve">the factors influencing reporting behavior, including who is most likely to file reports and the reasons behind their actions. </w:t>
      </w:r>
    </w:p>
    <w:p w14:paraId="21798CF0" w14:textId="77777777" w:rsidR="003A0445" w:rsidRPr="008B59D5" w:rsidRDefault="007C73E0" w:rsidP="009D535B">
      <w:pPr>
        <w:pStyle w:val="Heading1"/>
        <w:spacing w:before="0" w:beforeAutospacing="0" w:after="0" w:afterAutospacing="0" w:line="240" w:lineRule="auto"/>
        <w:rPr>
          <w:rFonts w:cs="Times New Roman"/>
          <w:color w:val="auto"/>
          <w:sz w:val="22"/>
          <w:szCs w:val="22"/>
        </w:rPr>
      </w:pPr>
      <w:r w:rsidRPr="008B59D5">
        <w:rPr>
          <w:rFonts w:cs="Times New Roman"/>
          <w:color w:val="auto"/>
          <w:sz w:val="22"/>
          <w:szCs w:val="22"/>
        </w:rPr>
        <w:t>Conclusion</w:t>
      </w:r>
    </w:p>
    <w:p w14:paraId="4F208756" w14:textId="555C0E47" w:rsidR="008767C8" w:rsidRDefault="008767C8" w:rsidP="009D535B">
      <w:pPr>
        <w:spacing w:before="0" w:beforeAutospacing="0" w:after="0" w:afterAutospacing="0" w:line="240" w:lineRule="auto"/>
        <w:rPr>
          <w:rFonts w:cs="Times New Roman"/>
          <w:sz w:val="22"/>
          <w:szCs w:val="22"/>
        </w:rPr>
      </w:pPr>
      <w:r w:rsidRPr="008B59D5">
        <w:rPr>
          <w:rFonts w:cs="Times New Roman"/>
          <w:sz w:val="22"/>
          <w:szCs w:val="22"/>
        </w:rPr>
        <w:t xml:space="preserve">This retrospective study evaluated OVR awareness across MHC hospitals, analyzing reports filed in 2021 (33,170), 2022 (24,423), and 2023 (22,201). The decline in reports from 2021 to 2023 may be due to </w:t>
      </w:r>
      <w:r w:rsidR="007D5779" w:rsidRPr="008B59D5">
        <w:rPr>
          <w:rFonts w:cs="Times New Roman"/>
          <w:sz w:val="22"/>
          <w:szCs w:val="22"/>
        </w:rPr>
        <w:t>practical</w:t>
      </w:r>
      <w:r w:rsidRPr="008B59D5">
        <w:rPr>
          <w:rFonts w:cs="Times New Roman"/>
          <w:sz w:val="22"/>
          <w:szCs w:val="22"/>
        </w:rPr>
        <w:t xml:space="preserve"> improvement projects or issues such as </w:t>
      </w:r>
      <w:r w:rsidR="007D5779" w:rsidRPr="008B59D5">
        <w:rPr>
          <w:rFonts w:cs="Times New Roman"/>
          <w:sz w:val="22"/>
          <w:szCs w:val="22"/>
        </w:rPr>
        <w:t xml:space="preserve">a </w:t>
      </w:r>
      <w:r w:rsidRPr="008B59D5">
        <w:rPr>
          <w:rFonts w:cs="Times New Roman"/>
          <w:sz w:val="22"/>
          <w:szCs w:val="22"/>
        </w:rPr>
        <w:t xml:space="preserve">lack of leadership support, time constraints, unclear policies, and fear of repercussions. The top five reported issues were consistent across all three years: medication errors, patient care management, documentation, staff-related issues, and laboratory concerns. Given the recurrence of these issues, improvement projects need revision. To enhance communication and patient safety culture, studying reporter types and factors affecting OVR </w:t>
      </w:r>
      <w:r w:rsidR="00651DF1" w:rsidRPr="008B59D5">
        <w:rPr>
          <w:rFonts w:cs="Times New Roman"/>
          <w:sz w:val="22"/>
          <w:szCs w:val="22"/>
        </w:rPr>
        <w:t>w</w:t>
      </w:r>
      <w:r w:rsidR="007D5779" w:rsidRPr="008B59D5">
        <w:rPr>
          <w:rFonts w:cs="Times New Roman"/>
          <w:sz w:val="22"/>
          <w:szCs w:val="22"/>
        </w:rPr>
        <w:t>as</w:t>
      </w:r>
      <w:r w:rsidRPr="008B59D5">
        <w:rPr>
          <w:rFonts w:cs="Times New Roman"/>
          <w:sz w:val="22"/>
          <w:szCs w:val="22"/>
        </w:rPr>
        <w:t xml:space="preserve"> suggested to </w:t>
      </w:r>
      <w:r w:rsidR="007D5779" w:rsidRPr="008B59D5">
        <w:rPr>
          <w:rFonts w:cs="Times New Roman"/>
          <w:sz w:val="22"/>
          <w:szCs w:val="22"/>
        </w:rPr>
        <w:t>better</w:t>
      </w:r>
      <w:r w:rsidR="008F65A8" w:rsidRPr="008B59D5">
        <w:rPr>
          <w:rFonts w:cs="Times New Roman"/>
          <w:sz w:val="22"/>
          <w:szCs w:val="22"/>
        </w:rPr>
        <w:t xml:space="preserve"> understand</w:t>
      </w:r>
      <w:r w:rsidRPr="008B59D5">
        <w:rPr>
          <w:rFonts w:cs="Times New Roman"/>
          <w:sz w:val="22"/>
          <w:szCs w:val="22"/>
        </w:rPr>
        <w:t xml:space="preserve"> and improve reporting behavior.</w:t>
      </w:r>
    </w:p>
    <w:p w14:paraId="71605E9F" w14:textId="77777777" w:rsidR="009D535B" w:rsidRPr="008B59D5" w:rsidRDefault="009D535B" w:rsidP="009D535B">
      <w:pPr>
        <w:spacing w:before="0" w:beforeAutospacing="0" w:after="0" w:afterAutospacing="0" w:line="240" w:lineRule="auto"/>
        <w:rPr>
          <w:rFonts w:cs="Times New Roman"/>
          <w:sz w:val="22"/>
          <w:szCs w:val="22"/>
        </w:rPr>
      </w:pPr>
    </w:p>
    <w:p w14:paraId="6DACF6B9" w14:textId="77777777" w:rsidR="00524537" w:rsidRPr="008B59D5" w:rsidRDefault="00966070" w:rsidP="009D535B">
      <w:pPr>
        <w:pStyle w:val="Heading1"/>
        <w:spacing w:before="0" w:beforeAutospacing="0" w:after="0" w:afterAutospacing="0" w:line="240" w:lineRule="auto"/>
        <w:rPr>
          <w:rFonts w:cs="Times New Roman"/>
          <w:color w:val="auto"/>
          <w:sz w:val="22"/>
          <w:szCs w:val="22"/>
        </w:rPr>
      </w:pPr>
      <w:r w:rsidRPr="008B59D5">
        <w:rPr>
          <w:rFonts w:cs="Times New Roman"/>
          <w:color w:val="auto"/>
          <w:sz w:val="22"/>
          <w:szCs w:val="22"/>
        </w:rPr>
        <w:t>Ethical Statement</w:t>
      </w:r>
    </w:p>
    <w:p w14:paraId="40104466" w14:textId="079AD829" w:rsidR="00966070" w:rsidRPr="008B59D5" w:rsidRDefault="008F65A8" w:rsidP="009D535B">
      <w:pPr>
        <w:spacing w:before="0" w:beforeAutospacing="0" w:line="240" w:lineRule="auto"/>
        <w:rPr>
          <w:rFonts w:cs="Times New Roman"/>
          <w:sz w:val="22"/>
          <w:szCs w:val="22"/>
        </w:rPr>
      </w:pPr>
      <w:r w:rsidRPr="007501CB">
        <w:rPr>
          <w:rFonts w:cs="Times New Roman"/>
          <w:sz w:val="22"/>
          <w:szCs w:val="22"/>
        </w:rPr>
        <w:t xml:space="preserve">This study was approved by the </w:t>
      </w:r>
      <w:r w:rsidRPr="007501CB">
        <w:rPr>
          <w:rStyle w:val="Strong"/>
          <w:rFonts w:eastAsiaTheme="majorEastAsia" w:cs="Times New Roman"/>
          <w:b w:val="0"/>
          <w:bCs w:val="0"/>
          <w:sz w:val="22"/>
          <w:szCs w:val="22"/>
        </w:rPr>
        <w:t>Research Ethics Committee at Makkah Health Affairs, Makkah City, Saudi Arabia</w:t>
      </w:r>
      <w:r w:rsidRPr="007501CB">
        <w:rPr>
          <w:rFonts w:cs="Times New Roman"/>
          <w:b/>
          <w:bCs/>
          <w:sz w:val="22"/>
          <w:szCs w:val="22"/>
        </w:rPr>
        <w:t>.</w:t>
      </w:r>
      <w:r w:rsidRPr="007501CB">
        <w:rPr>
          <w:rFonts w:cs="Times New Roman"/>
          <w:sz w:val="22"/>
          <w:szCs w:val="22"/>
        </w:rPr>
        <w:t xml:space="preserve"> The ethical approval reference number is </w:t>
      </w:r>
      <w:r w:rsidRPr="007501CB">
        <w:rPr>
          <w:rStyle w:val="Strong"/>
          <w:rFonts w:eastAsiaTheme="majorEastAsia" w:cs="Times New Roman"/>
          <w:b w:val="0"/>
          <w:bCs w:val="0"/>
          <w:sz w:val="22"/>
          <w:szCs w:val="22"/>
        </w:rPr>
        <w:t>H-02-K-076-0621-436</w:t>
      </w:r>
      <w:r w:rsidRPr="007501CB">
        <w:rPr>
          <w:rFonts w:cs="Times New Roman"/>
          <w:b/>
          <w:bCs/>
          <w:sz w:val="22"/>
          <w:szCs w:val="22"/>
        </w:rPr>
        <w:t>.</w:t>
      </w:r>
      <w:r w:rsidRPr="007501CB">
        <w:rPr>
          <w:rFonts w:cs="Times New Roman"/>
          <w:sz w:val="22"/>
          <w:szCs w:val="22"/>
        </w:rPr>
        <w:t xml:space="preserve"> </w:t>
      </w:r>
      <w:r w:rsidR="00966070" w:rsidRPr="007501CB">
        <w:rPr>
          <w:rFonts w:cs="Times New Roman"/>
          <w:sz w:val="22"/>
          <w:szCs w:val="22"/>
        </w:rPr>
        <w:t xml:space="preserve">All data were collected and analyzed in </w:t>
      </w:r>
      <w:r w:rsidR="007D5779" w:rsidRPr="007501CB">
        <w:rPr>
          <w:rFonts w:cs="Times New Roman"/>
          <w:sz w:val="22"/>
          <w:szCs w:val="22"/>
        </w:rPr>
        <w:t>accord</w:t>
      </w:r>
      <w:r w:rsidR="00966070" w:rsidRPr="007501CB">
        <w:rPr>
          <w:rFonts w:cs="Times New Roman"/>
          <w:sz w:val="22"/>
          <w:szCs w:val="22"/>
        </w:rPr>
        <w:t xml:space="preserve">ance with ethical </w:t>
      </w:r>
      <w:r w:rsidRPr="007501CB">
        <w:rPr>
          <w:rFonts w:cs="Times New Roman"/>
          <w:sz w:val="22"/>
          <w:szCs w:val="22"/>
        </w:rPr>
        <w:t>research</w:t>
      </w:r>
      <w:r w:rsidR="00966070" w:rsidRPr="007501CB">
        <w:rPr>
          <w:rFonts w:cs="Times New Roman"/>
          <w:sz w:val="22"/>
          <w:szCs w:val="22"/>
        </w:rPr>
        <w:t xml:space="preserve"> </w:t>
      </w:r>
      <w:r w:rsidRPr="007501CB">
        <w:rPr>
          <w:rFonts w:cs="Times New Roman"/>
          <w:sz w:val="22"/>
          <w:szCs w:val="22"/>
        </w:rPr>
        <w:t>standards</w:t>
      </w:r>
      <w:r w:rsidR="00966070" w:rsidRPr="007501CB">
        <w:rPr>
          <w:rFonts w:cs="Times New Roman"/>
          <w:sz w:val="22"/>
          <w:szCs w:val="22"/>
        </w:rPr>
        <w:t xml:space="preserve"> and with full respect for </w:t>
      </w:r>
      <w:r w:rsidR="007D5779" w:rsidRPr="007501CB">
        <w:rPr>
          <w:rFonts w:cs="Times New Roman"/>
          <w:sz w:val="22"/>
          <w:szCs w:val="22"/>
        </w:rPr>
        <w:t xml:space="preserve">the </w:t>
      </w:r>
      <w:r w:rsidR="00966070" w:rsidRPr="007501CB">
        <w:rPr>
          <w:rFonts w:cs="Times New Roman"/>
          <w:sz w:val="22"/>
          <w:szCs w:val="22"/>
        </w:rPr>
        <w:t xml:space="preserve">confidentiality and privacy of </w:t>
      </w:r>
      <w:r w:rsidR="007D5779" w:rsidRPr="007501CB">
        <w:rPr>
          <w:rFonts w:cs="Times New Roman"/>
          <w:sz w:val="22"/>
          <w:szCs w:val="22"/>
        </w:rPr>
        <w:t xml:space="preserve">the </w:t>
      </w:r>
      <w:r w:rsidRPr="007501CB">
        <w:rPr>
          <w:rFonts w:cs="Times New Roman"/>
          <w:sz w:val="22"/>
          <w:szCs w:val="22"/>
        </w:rPr>
        <w:t>research</w:t>
      </w:r>
      <w:r w:rsidRPr="008B59D5">
        <w:rPr>
          <w:rFonts w:cs="Times New Roman"/>
          <w:sz w:val="22"/>
          <w:szCs w:val="22"/>
        </w:rPr>
        <w:t xml:space="preserve"> process,</w:t>
      </w:r>
      <w:r w:rsidR="00966070" w:rsidRPr="008B59D5">
        <w:rPr>
          <w:rFonts w:cs="Times New Roman"/>
          <w:sz w:val="22"/>
          <w:szCs w:val="22"/>
        </w:rPr>
        <w:t xml:space="preserve"> and no personal</w:t>
      </w:r>
      <w:r w:rsidRPr="008B59D5">
        <w:rPr>
          <w:rFonts w:cs="Times New Roman"/>
          <w:sz w:val="22"/>
          <w:szCs w:val="22"/>
        </w:rPr>
        <w:t>ly</w:t>
      </w:r>
      <w:r w:rsidR="00966070" w:rsidRPr="008B59D5">
        <w:rPr>
          <w:rFonts w:cs="Times New Roman"/>
          <w:sz w:val="22"/>
          <w:szCs w:val="22"/>
        </w:rPr>
        <w:t xml:space="preserve"> identif</w:t>
      </w:r>
      <w:r w:rsidRPr="008B59D5">
        <w:rPr>
          <w:rFonts w:cs="Times New Roman"/>
          <w:sz w:val="22"/>
          <w:szCs w:val="22"/>
        </w:rPr>
        <w:t>iable</w:t>
      </w:r>
      <w:r w:rsidR="00966070" w:rsidRPr="008B59D5">
        <w:rPr>
          <w:rFonts w:cs="Times New Roman"/>
          <w:sz w:val="22"/>
          <w:szCs w:val="22"/>
        </w:rPr>
        <w:t xml:space="preserve"> information was used in the analysis.</w:t>
      </w:r>
    </w:p>
    <w:p w14:paraId="3D4CD9F7" w14:textId="77777777" w:rsidR="00035D26" w:rsidRPr="008B59D5" w:rsidRDefault="00035D26" w:rsidP="009D535B">
      <w:pPr>
        <w:pStyle w:val="Heading4"/>
        <w:spacing w:before="100" w:after="100" w:line="240" w:lineRule="auto"/>
        <w:rPr>
          <w:rFonts w:ascii="Times New Roman" w:hAnsi="Times New Roman" w:cs="Times New Roman"/>
          <w:i w:val="0"/>
          <w:iCs w:val="0"/>
          <w:color w:val="auto"/>
          <w:sz w:val="22"/>
          <w:szCs w:val="22"/>
        </w:rPr>
      </w:pPr>
      <w:r w:rsidRPr="008B59D5">
        <w:rPr>
          <w:rStyle w:val="Strong"/>
          <w:rFonts w:ascii="Times New Roman" w:hAnsi="Times New Roman" w:cs="Times New Roman"/>
          <w:i w:val="0"/>
          <w:iCs w:val="0"/>
          <w:color w:val="auto"/>
          <w:sz w:val="22"/>
          <w:szCs w:val="22"/>
        </w:rPr>
        <w:t>Consent to Participate</w:t>
      </w:r>
    </w:p>
    <w:p w14:paraId="4852AFF2" w14:textId="77777777" w:rsidR="00035D26" w:rsidRPr="008B59D5" w:rsidRDefault="00035D26" w:rsidP="008B59D5">
      <w:pPr>
        <w:pStyle w:val="NormalWeb"/>
        <w:spacing w:line="240" w:lineRule="auto"/>
        <w:rPr>
          <w:sz w:val="22"/>
          <w:szCs w:val="22"/>
        </w:rPr>
      </w:pPr>
      <w:r w:rsidRPr="008B59D5">
        <w:rPr>
          <w:sz w:val="22"/>
          <w:szCs w:val="22"/>
        </w:rPr>
        <w:t>Not Applicable – This study was a retrospective analysis using de-identified administrative data. No direct contact with human subjects was made, and therefore, informed consent was not required.</w:t>
      </w:r>
    </w:p>
    <w:p w14:paraId="2734C13D" w14:textId="77777777" w:rsidR="00035D26" w:rsidRPr="008B59D5" w:rsidRDefault="00035D26" w:rsidP="009D535B">
      <w:pPr>
        <w:pStyle w:val="Heading4"/>
        <w:spacing w:before="0" w:beforeAutospacing="0" w:afterAutospacing="0" w:line="240" w:lineRule="auto"/>
        <w:rPr>
          <w:rFonts w:ascii="Times New Roman" w:hAnsi="Times New Roman" w:cs="Times New Roman"/>
          <w:i w:val="0"/>
          <w:iCs w:val="0"/>
          <w:color w:val="auto"/>
          <w:sz w:val="22"/>
          <w:szCs w:val="22"/>
        </w:rPr>
      </w:pPr>
      <w:r w:rsidRPr="008B59D5">
        <w:rPr>
          <w:rStyle w:val="Strong"/>
          <w:rFonts w:ascii="Times New Roman" w:hAnsi="Times New Roman" w:cs="Times New Roman"/>
          <w:i w:val="0"/>
          <w:iCs w:val="0"/>
          <w:color w:val="auto"/>
          <w:sz w:val="22"/>
          <w:szCs w:val="22"/>
        </w:rPr>
        <w:t>Consent for Publication</w:t>
      </w:r>
    </w:p>
    <w:p w14:paraId="2DE61156" w14:textId="77777777" w:rsidR="00035D26" w:rsidRDefault="00035D26" w:rsidP="009D535B">
      <w:pPr>
        <w:pStyle w:val="NormalWeb"/>
        <w:spacing w:before="0" w:beforeAutospacing="0" w:after="0" w:afterAutospacing="0" w:line="240" w:lineRule="auto"/>
        <w:rPr>
          <w:sz w:val="22"/>
          <w:szCs w:val="22"/>
        </w:rPr>
      </w:pPr>
      <w:r w:rsidRPr="008B59D5">
        <w:rPr>
          <w:sz w:val="22"/>
          <w:szCs w:val="22"/>
        </w:rPr>
        <w:t>Not Applicable – No individual-level data, images, or personal details are presented that would require consent for publication.</w:t>
      </w:r>
    </w:p>
    <w:p w14:paraId="391FBF7C" w14:textId="77777777" w:rsidR="009D535B" w:rsidRPr="008B59D5" w:rsidRDefault="009D535B" w:rsidP="009D535B">
      <w:pPr>
        <w:pStyle w:val="NormalWeb"/>
        <w:spacing w:before="0" w:beforeAutospacing="0" w:after="0" w:afterAutospacing="0" w:line="240" w:lineRule="auto"/>
        <w:rPr>
          <w:sz w:val="22"/>
          <w:szCs w:val="22"/>
        </w:rPr>
      </w:pPr>
    </w:p>
    <w:p w14:paraId="6E33D15A" w14:textId="77777777" w:rsidR="00035D26" w:rsidRPr="008B59D5" w:rsidRDefault="00035D26" w:rsidP="009D535B">
      <w:pPr>
        <w:pStyle w:val="Heading4"/>
        <w:spacing w:before="0" w:beforeAutospacing="0" w:afterAutospacing="0" w:line="240" w:lineRule="auto"/>
        <w:rPr>
          <w:rFonts w:ascii="Times New Roman" w:hAnsi="Times New Roman" w:cs="Times New Roman"/>
          <w:i w:val="0"/>
          <w:iCs w:val="0"/>
          <w:color w:val="auto"/>
          <w:sz w:val="22"/>
          <w:szCs w:val="22"/>
        </w:rPr>
      </w:pPr>
      <w:r w:rsidRPr="008B59D5">
        <w:rPr>
          <w:rStyle w:val="Strong"/>
          <w:rFonts w:ascii="Times New Roman" w:hAnsi="Times New Roman" w:cs="Times New Roman"/>
          <w:i w:val="0"/>
          <w:iCs w:val="0"/>
          <w:color w:val="auto"/>
          <w:sz w:val="22"/>
          <w:szCs w:val="22"/>
        </w:rPr>
        <w:t>Funding Declaration</w:t>
      </w:r>
    </w:p>
    <w:p w14:paraId="54F363FA" w14:textId="77777777" w:rsidR="00035D26" w:rsidRDefault="00035D26" w:rsidP="009D535B">
      <w:pPr>
        <w:pStyle w:val="NormalWeb"/>
        <w:spacing w:before="0" w:beforeAutospacing="0" w:after="0" w:afterAutospacing="0" w:line="240" w:lineRule="auto"/>
        <w:rPr>
          <w:sz w:val="22"/>
          <w:szCs w:val="22"/>
        </w:rPr>
      </w:pPr>
      <w:r w:rsidRPr="008B59D5">
        <w:rPr>
          <w:sz w:val="22"/>
          <w:szCs w:val="22"/>
        </w:rPr>
        <w:t xml:space="preserve">This research received </w:t>
      </w:r>
      <w:r w:rsidRPr="007501CB">
        <w:rPr>
          <w:rStyle w:val="Strong"/>
          <w:rFonts w:eastAsiaTheme="majorEastAsia"/>
          <w:b w:val="0"/>
          <w:bCs w:val="0"/>
          <w:sz w:val="22"/>
          <w:szCs w:val="22"/>
        </w:rPr>
        <w:t>no specific grant</w:t>
      </w:r>
      <w:r w:rsidRPr="008B59D5">
        <w:rPr>
          <w:sz w:val="22"/>
          <w:szCs w:val="22"/>
        </w:rPr>
        <w:t xml:space="preserve"> from any funding agency in the public, commercial, or not-for-profit sectors.</w:t>
      </w:r>
    </w:p>
    <w:p w14:paraId="67FB045F" w14:textId="77777777" w:rsidR="009D535B" w:rsidRPr="008B59D5" w:rsidRDefault="009D535B" w:rsidP="009D535B">
      <w:pPr>
        <w:pStyle w:val="NormalWeb"/>
        <w:spacing w:before="0" w:beforeAutospacing="0" w:after="0" w:afterAutospacing="0" w:line="240" w:lineRule="auto"/>
        <w:rPr>
          <w:sz w:val="22"/>
          <w:szCs w:val="22"/>
        </w:rPr>
      </w:pPr>
    </w:p>
    <w:p w14:paraId="184F5872" w14:textId="77777777" w:rsidR="00035D26" w:rsidRPr="008B59D5" w:rsidRDefault="00035D26" w:rsidP="009D535B">
      <w:pPr>
        <w:pStyle w:val="Heading4"/>
        <w:spacing w:before="0" w:beforeAutospacing="0" w:afterAutospacing="0" w:line="240" w:lineRule="auto"/>
        <w:rPr>
          <w:rFonts w:ascii="Times New Roman" w:hAnsi="Times New Roman" w:cs="Times New Roman"/>
          <w:i w:val="0"/>
          <w:iCs w:val="0"/>
          <w:color w:val="auto"/>
          <w:sz w:val="22"/>
          <w:szCs w:val="22"/>
        </w:rPr>
      </w:pPr>
      <w:r w:rsidRPr="008B59D5">
        <w:rPr>
          <w:rStyle w:val="Strong"/>
          <w:rFonts w:ascii="Times New Roman" w:hAnsi="Times New Roman" w:cs="Times New Roman"/>
          <w:i w:val="0"/>
          <w:iCs w:val="0"/>
          <w:color w:val="auto"/>
          <w:sz w:val="22"/>
          <w:szCs w:val="22"/>
        </w:rPr>
        <w:t>Declaration of Conflicting Interest</w:t>
      </w:r>
    </w:p>
    <w:p w14:paraId="3700D319" w14:textId="77777777" w:rsidR="00035D26" w:rsidRDefault="00035D26" w:rsidP="009D535B">
      <w:pPr>
        <w:pStyle w:val="NormalWeb"/>
        <w:spacing w:before="0" w:beforeAutospacing="0" w:after="0" w:afterAutospacing="0" w:line="240" w:lineRule="auto"/>
        <w:rPr>
          <w:sz w:val="22"/>
          <w:szCs w:val="22"/>
        </w:rPr>
      </w:pPr>
      <w:r w:rsidRPr="008B59D5">
        <w:rPr>
          <w:sz w:val="22"/>
          <w:szCs w:val="22"/>
        </w:rPr>
        <w:t xml:space="preserve">The authors declare </w:t>
      </w:r>
      <w:r w:rsidRPr="007501CB">
        <w:rPr>
          <w:rStyle w:val="Strong"/>
          <w:rFonts w:eastAsiaTheme="majorEastAsia"/>
          <w:b w:val="0"/>
          <w:bCs w:val="0"/>
          <w:sz w:val="22"/>
          <w:szCs w:val="22"/>
        </w:rPr>
        <w:t>no potential conflicts of interest</w:t>
      </w:r>
      <w:r w:rsidRPr="008B59D5">
        <w:rPr>
          <w:sz w:val="22"/>
          <w:szCs w:val="22"/>
        </w:rPr>
        <w:t xml:space="preserve"> with respect to the research, authorship, and/or publication of this article.</w:t>
      </w:r>
    </w:p>
    <w:p w14:paraId="6EAC28EC" w14:textId="77777777" w:rsidR="009D535B" w:rsidRPr="008B59D5" w:rsidRDefault="009D535B" w:rsidP="009D535B">
      <w:pPr>
        <w:pStyle w:val="NormalWeb"/>
        <w:spacing w:before="0" w:beforeAutospacing="0" w:after="0" w:afterAutospacing="0" w:line="240" w:lineRule="auto"/>
        <w:rPr>
          <w:sz w:val="22"/>
          <w:szCs w:val="22"/>
        </w:rPr>
      </w:pPr>
    </w:p>
    <w:p w14:paraId="35AF3D13" w14:textId="77777777" w:rsidR="00035D26" w:rsidRPr="008B59D5" w:rsidRDefault="00035D26" w:rsidP="009D535B">
      <w:pPr>
        <w:pStyle w:val="Heading4"/>
        <w:spacing w:before="0" w:beforeAutospacing="0" w:afterAutospacing="0" w:line="240" w:lineRule="auto"/>
        <w:rPr>
          <w:rFonts w:ascii="Times New Roman" w:hAnsi="Times New Roman" w:cs="Times New Roman"/>
          <w:i w:val="0"/>
          <w:iCs w:val="0"/>
          <w:color w:val="auto"/>
          <w:sz w:val="22"/>
          <w:szCs w:val="22"/>
        </w:rPr>
      </w:pPr>
      <w:r w:rsidRPr="008B59D5">
        <w:rPr>
          <w:rStyle w:val="Strong"/>
          <w:rFonts w:ascii="Times New Roman" w:hAnsi="Times New Roman" w:cs="Times New Roman"/>
          <w:i w:val="0"/>
          <w:iCs w:val="0"/>
          <w:color w:val="auto"/>
          <w:sz w:val="22"/>
          <w:szCs w:val="22"/>
        </w:rPr>
        <w:t>Data Availability Statement</w:t>
      </w:r>
    </w:p>
    <w:p w14:paraId="1EC6D753" w14:textId="09A151E9" w:rsidR="00035D26" w:rsidRPr="008B59D5" w:rsidRDefault="00035D26" w:rsidP="009D535B">
      <w:pPr>
        <w:pStyle w:val="NormalWeb"/>
        <w:spacing w:before="0" w:beforeAutospacing="0" w:after="0" w:afterAutospacing="0" w:line="240" w:lineRule="auto"/>
        <w:rPr>
          <w:sz w:val="22"/>
          <w:szCs w:val="22"/>
        </w:rPr>
      </w:pPr>
      <w:r w:rsidRPr="00F47FDA">
        <w:rPr>
          <w:sz w:val="22"/>
          <w:szCs w:val="22"/>
        </w:rPr>
        <w:t xml:space="preserve">The data used in this study were obtained from the </w:t>
      </w:r>
      <w:r w:rsidRPr="007501CB">
        <w:rPr>
          <w:rStyle w:val="Strong"/>
          <w:rFonts w:eastAsiaTheme="majorEastAsia"/>
          <w:b w:val="0"/>
          <w:bCs w:val="0"/>
          <w:sz w:val="22"/>
          <w:szCs w:val="22"/>
        </w:rPr>
        <w:t>Institutional Excellence and Quality Administration at the Makkah Healthcare Cluster</w:t>
      </w:r>
      <w:r w:rsidRPr="007501CB">
        <w:rPr>
          <w:b/>
          <w:bCs/>
          <w:sz w:val="22"/>
          <w:szCs w:val="22"/>
        </w:rPr>
        <w:t>.</w:t>
      </w:r>
      <w:r w:rsidRPr="00F47FDA">
        <w:rPr>
          <w:sz w:val="22"/>
          <w:szCs w:val="22"/>
        </w:rPr>
        <w:t xml:space="preserve"> These data are not publicly available due to privacy restrictions, but they will be available from the corresponding</w:t>
      </w:r>
      <w:r w:rsidRPr="008B59D5">
        <w:rPr>
          <w:sz w:val="22"/>
          <w:szCs w:val="22"/>
        </w:rPr>
        <w:t xml:space="preserve"> author upon reasonable request and with permission from the relevant authority.</w:t>
      </w:r>
    </w:p>
    <w:p w14:paraId="71456788" w14:textId="77777777" w:rsidR="00524537" w:rsidRPr="008B59D5" w:rsidRDefault="00966070" w:rsidP="009D535B">
      <w:pPr>
        <w:pStyle w:val="Heading1"/>
        <w:spacing w:before="0" w:beforeAutospacing="0" w:after="0" w:afterAutospacing="0" w:line="240" w:lineRule="auto"/>
        <w:rPr>
          <w:rFonts w:cs="Times New Roman"/>
          <w:color w:val="auto"/>
          <w:sz w:val="22"/>
          <w:szCs w:val="22"/>
        </w:rPr>
      </w:pPr>
      <w:r w:rsidRPr="008B59D5">
        <w:rPr>
          <w:rFonts w:cs="Times New Roman"/>
          <w:color w:val="auto"/>
          <w:sz w:val="22"/>
          <w:szCs w:val="22"/>
        </w:rPr>
        <w:t>Acknowledgment</w:t>
      </w:r>
    </w:p>
    <w:p w14:paraId="47A8CF76" w14:textId="77777777" w:rsidR="0004507B" w:rsidRDefault="00966070" w:rsidP="009D535B">
      <w:pPr>
        <w:pBdr>
          <w:bottom w:val="single" w:sz="4" w:space="1" w:color="auto"/>
        </w:pBdr>
        <w:spacing w:before="0" w:beforeAutospacing="0" w:after="0" w:afterAutospacing="0" w:line="240" w:lineRule="auto"/>
        <w:rPr>
          <w:rFonts w:cs="Times New Roman"/>
          <w:sz w:val="22"/>
          <w:szCs w:val="22"/>
        </w:rPr>
      </w:pPr>
      <w:r w:rsidRPr="008B59D5">
        <w:rPr>
          <w:rFonts w:cs="Times New Roman"/>
          <w:sz w:val="22"/>
          <w:szCs w:val="22"/>
        </w:rPr>
        <w:t>The authors would like to express their gratitude to the Makkah Healthcare Cluster and the Institutional Excellence and Quality Administration for their valuable support and assistance in providing access</w:t>
      </w:r>
      <w:r w:rsidR="007D5779" w:rsidRPr="008B59D5">
        <w:rPr>
          <w:rFonts w:cs="Times New Roman"/>
          <w:sz w:val="22"/>
          <w:szCs w:val="22"/>
        </w:rPr>
        <w:t xml:space="preserve"> to the data</w:t>
      </w:r>
      <w:r w:rsidRPr="008B59D5">
        <w:rPr>
          <w:rFonts w:cs="Times New Roman"/>
          <w:sz w:val="22"/>
          <w:szCs w:val="22"/>
        </w:rPr>
        <w:t>. Special thanks are extended to all staff members who contributed to data collection and management, completion of this research.</w:t>
      </w:r>
    </w:p>
    <w:p w14:paraId="6386DDC0" w14:textId="77777777" w:rsidR="009D535B" w:rsidRPr="009D535B" w:rsidRDefault="009D535B" w:rsidP="009D535B">
      <w:pPr>
        <w:pBdr>
          <w:bottom w:val="single" w:sz="4" w:space="1" w:color="auto"/>
        </w:pBdr>
        <w:spacing w:before="0" w:beforeAutospacing="0" w:after="0" w:afterAutospacing="0" w:line="240" w:lineRule="auto"/>
        <w:rPr>
          <w:rFonts w:cs="Times New Roman"/>
          <w:sz w:val="16"/>
          <w:szCs w:val="16"/>
        </w:rPr>
      </w:pPr>
    </w:p>
    <w:p w14:paraId="6FA83641" w14:textId="77777777" w:rsidR="009D535B" w:rsidRDefault="009D535B" w:rsidP="009D535B">
      <w:pPr>
        <w:pStyle w:val="Heading1"/>
        <w:spacing w:before="0" w:beforeAutospacing="0" w:after="0" w:afterAutospacing="0" w:line="240" w:lineRule="auto"/>
        <w:rPr>
          <w:rFonts w:cs="Times New Roman"/>
          <w:color w:val="auto"/>
          <w:sz w:val="22"/>
          <w:szCs w:val="22"/>
        </w:rPr>
      </w:pPr>
    </w:p>
    <w:p w14:paraId="2DF4D844" w14:textId="06150688" w:rsidR="008F66EE" w:rsidRPr="008B59D5" w:rsidRDefault="00892409" w:rsidP="009D535B">
      <w:pPr>
        <w:pStyle w:val="Heading1"/>
        <w:spacing w:before="0" w:beforeAutospacing="0" w:after="0" w:afterAutospacing="0" w:line="240" w:lineRule="auto"/>
        <w:rPr>
          <w:rFonts w:cs="Times New Roman"/>
          <w:color w:val="auto"/>
          <w:sz w:val="22"/>
          <w:szCs w:val="22"/>
        </w:rPr>
      </w:pPr>
      <w:r w:rsidRPr="008B59D5">
        <w:rPr>
          <w:rFonts w:cs="Times New Roman"/>
          <w:color w:val="auto"/>
          <w:sz w:val="22"/>
          <w:szCs w:val="22"/>
        </w:rPr>
        <w:t>References</w:t>
      </w:r>
    </w:p>
    <w:p w14:paraId="1C38AD00" w14:textId="1F72EE6E" w:rsidR="007F2092" w:rsidRPr="008B59D5" w:rsidRDefault="008F66EE" w:rsidP="009D535B">
      <w:pPr>
        <w:pStyle w:val="EndNoteBibliography"/>
        <w:spacing w:before="0" w:beforeAutospacing="0" w:after="0" w:afterAutospacing="0"/>
        <w:rPr>
          <w:sz w:val="22"/>
          <w:szCs w:val="22"/>
        </w:rPr>
      </w:pPr>
      <w:r w:rsidRPr="008B59D5">
        <w:rPr>
          <w:sz w:val="22"/>
          <w:szCs w:val="22"/>
        </w:rPr>
        <w:fldChar w:fldCharType="begin"/>
      </w:r>
      <w:r w:rsidRPr="008B59D5">
        <w:rPr>
          <w:sz w:val="22"/>
          <w:szCs w:val="22"/>
        </w:rPr>
        <w:instrText xml:space="preserve"> ADDIN EN.REFLIST </w:instrText>
      </w:r>
      <w:r w:rsidRPr="008B59D5">
        <w:rPr>
          <w:sz w:val="22"/>
          <w:szCs w:val="22"/>
        </w:rPr>
        <w:fldChar w:fldCharType="separate"/>
      </w:r>
      <w:r w:rsidR="007F2092" w:rsidRPr="008B59D5">
        <w:rPr>
          <w:sz w:val="22"/>
          <w:szCs w:val="22"/>
        </w:rPr>
        <w:t>1.Organization WH. Global patient safety action plan 2021-2030: towards eliminating avoidable harm in health care: World Health Organization; 2021.</w:t>
      </w:r>
    </w:p>
    <w:p w14:paraId="39B5EF3D" w14:textId="1731A644" w:rsidR="007F2092" w:rsidRPr="008B59D5" w:rsidRDefault="007F2092" w:rsidP="009D535B">
      <w:pPr>
        <w:pStyle w:val="EndNoteBibliography"/>
        <w:spacing w:before="0" w:beforeAutospacing="0" w:after="0" w:afterAutospacing="0"/>
        <w:rPr>
          <w:sz w:val="22"/>
          <w:szCs w:val="22"/>
        </w:rPr>
      </w:pPr>
      <w:r w:rsidRPr="008B59D5">
        <w:rPr>
          <w:sz w:val="22"/>
          <w:szCs w:val="22"/>
        </w:rPr>
        <w:t>2.Lungu D, Harvey J. Patient Safety: A Systematic Review of the Literature with Evidence based Measures to Improve Patient Safety in Healthcare Settings. South American Journal of Academic Research. 2023;10(2):27-35.</w:t>
      </w:r>
    </w:p>
    <w:p w14:paraId="035D47A4" w14:textId="0E89AE9D" w:rsidR="007F2092" w:rsidRPr="008B59D5" w:rsidRDefault="007F2092" w:rsidP="009D535B">
      <w:pPr>
        <w:pStyle w:val="EndNoteBibliography"/>
        <w:spacing w:before="0" w:beforeAutospacing="0" w:after="0" w:afterAutospacing="0"/>
        <w:rPr>
          <w:sz w:val="22"/>
          <w:szCs w:val="22"/>
        </w:rPr>
      </w:pPr>
      <w:r w:rsidRPr="008B59D5">
        <w:rPr>
          <w:sz w:val="22"/>
          <w:szCs w:val="22"/>
        </w:rPr>
        <w:t>3.DiCuccio MH. The relationship between patient safety culture and patient outcomes: a systemaic review. Journal of patient safety. 2015;11(3):135-42.</w:t>
      </w:r>
    </w:p>
    <w:p w14:paraId="7AD1347F" w14:textId="52FC6904" w:rsidR="007F2092" w:rsidRPr="008B59D5" w:rsidRDefault="007F2092" w:rsidP="009D535B">
      <w:pPr>
        <w:pStyle w:val="EndNoteBibliography"/>
        <w:spacing w:before="0" w:beforeAutospacing="0" w:after="0" w:afterAutospacing="0"/>
        <w:rPr>
          <w:sz w:val="22"/>
          <w:szCs w:val="22"/>
        </w:rPr>
      </w:pPr>
      <w:r w:rsidRPr="008B59D5">
        <w:rPr>
          <w:sz w:val="22"/>
          <w:szCs w:val="22"/>
        </w:rPr>
        <w:t>4.Organization WH. Global burden of preventable medication-related harm in health care: a systematic review. 2024.</w:t>
      </w:r>
    </w:p>
    <w:p w14:paraId="6EDD3CBC" w14:textId="3855B032" w:rsidR="007F2092" w:rsidRPr="008B59D5" w:rsidRDefault="007F2092" w:rsidP="009D535B">
      <w:pPr>
        <w:pStyle w:val="EndNoteBibliography"/>
        <w:spacing w:before="0" w:beforeAutospacing="0" w:after="0" w:afterAutospacing="0"/>
        <w:rPr>
          <w:sz w:val="22"/>
          <w:szCs w:val="22"/>
        </w:rPr>
      </w:pPr>
      <w:r w:rsidRPr="008B59D5">
        <w:rPr>
          <w:sz w:val="22"/>
          <w:szCs w:val="22"/>
        </w:rPr>
        <w:t>5.Weyulu CV. Safeguarding patient safety in healthcare settings in Namibia: An appraisal of the regulatory framework governing healthcare professionals’ conduct and practice: University of Namibia; 2022.</w:t>
      </w:r>
    </w:p>
    <w:p w14:paraId="77410BA3" w14:textId="4A553DAA" w:rsidR="007F2092" w:rsidRPr="008B59D5" w:rsidRDefault="007F2092" w:rsidP="009D535B">
      <w:pPr>
        <w:pStyle w:val="EndNoteBibliography"/>
        <w:spacing w:before="0" w:beforeAutospacing="0" w:after="0" w:afterAutospacing="0"/>
        <w:rPr>
          <w:sz w:val="22"/>
          <w:szCs w:val="22"/>
        </w:rPr>
      </w:pPr>
      <w:r w:rsidRPr="008B59D5">
        <w:rPr>
          <w:sz w:val="22"/>
          <w:szCs w:val="22"/>
        </w:rPr>
        <w:t>6.Lee S-H, Phan PH, Dorman T, Weaver SJ, Pronovost PJ. Handoffs, safety culture, and practices: evidence from the hospital survey on patient safety culture. BMC health services research. 2016;16:1-8.</w:t>
      </w:r>
    </w:p>
    <w:p w14:paraId="615C1EE5" w14:textId="432B71E2" w:rsidR="007F2092" w:rsidRPr="008B59D5" w:rsidRDefault="007F2092" w:rsidP="009D535B">
      <w:pPr>
        <w:pStyle w:val="EndNoteBibliography"/>
        <w:spacing w:before="0" w:beforeAutospacing="0" w:after="0" w:afterAutospacing="0"/>
        <w:rPr>
          <w:sz w:val="22"/>
          <w:szCs w:val="22"/>
        </w:rPr>
      </w:pPr>
      <w:r w:rsidRPr="008B59D5">
        <w:rPr>
          <w:sz w:val="22"/>
          <w:szCs w:val="22"/>
        </w:rPr>
        <w:t>7.Phiri AK, Juba OO, Baladaniya M, Regal HYA, Nteziryayo T. Strategies for quality health standards: Cari Journals USA LLC; 2024.</w:t>
      </w:r>
    </w:p>
    <w:p w14:paraId="442A57A4" w14:textId="74BCBDBF" w:rsidR="007F2092" w:rsidRPr="008B59D5" w:rsidRDefault="007F2092" w:rsidP="009D535B">
      <w:pPr>
        <w:pStyle w:val="EndNoteBibliography"/>
        <w:spacing w:before="0" w:beforeAutospacing="0" w:after="0" w:afterAutospacing="0"/>
        <w:rPr>
          <w:sz w:val="22"/>
          <w:szCs w:val="22"/>
        </w:rPr>
      </w:pPr>
      <w:r w:rsidRPr="008B59D5">
        <w:rPr>
          <w:sz w:val="22"/>
          <w:szCs w:val="22"/>
        </w:rPr>
        <w:t>8.Biondi EA, Hall M, Leonard MS, Pirraglia PA, Alverson BK. Association between resource utilization and patient satisfaction at a tertiary care medical center. Journal of hospital medicine. 2016;11(11):785-91.</w:t>
      </w:r>
    </w:p>
    <w:p w14:paraId="649F9C42" w14:textId="07C82FA4" w:rsidR="007F2092" w:rsidRPr="008B59D5" w:rsidRDefault="007F2092" w:rsidP="009D535B">
      <w:pPr>
        <w:pStyle w:val="EndNoteBibliography"/>
        <w:spacing w:before="0" w:beforeAutospacing="0" w:after="0" w:afterAutospacing="0"/>
        <w:rPr>
          <w:sz w:val="22"/>
          <w:szCs w:val="22"/>
        </w:rPr>
      </w:pPr>
      <w:r w:rsidRPr="008B59D5">
        <w:rPr>
          <w:sz w:val="22"/>
          <w:szCs w:val="22"/>
        </w:rPr>
        <w:t>9.Albarrak AI, Almansour AS, Alzahrani AA, Almalki AH, Alshehri AA, Mohammed R. Assessment of patient safety challenges and electronic occurrence variance reporting (e-OVR) barriers facing physicians and nurses in the emergency department: a cross sectional study. BMC emergency medicine. 2020;20:1-8.</w:t>
      </w:r>
    </w:p>
    <w:p w14:paraId="76EEDFCD" w14:textId="25D865BF" w:rsidR="007F2092" w:rsidRPr="008B59D5" w:rsidRDefault="007F2092" w:rsidP="009D535B">
      <w:pPr>
        <w:pStyle w:val="EndNoteBibliography"/>
        <w:spacing w:before="0" w:beforeAutospacing="0" w:after="0" w:afterAutospacing="0"/>
        <w:rPr>
          <w:sz w:val="22"/>
          <w:szCs w:val="22"/>
        </w:rPr>
      </w:pPr>
      <w:r w:rsidRPr="008B59D5">
        <w:rPr>
          <w:sz w:val="22"/>
          <w:szCs w:val="22"/>
        </w:rPr>
        <w:t>10.Salem M, Elsayed H, Nofal P, Dahroug EH, Elzoghby S, Azzam M, et al. Improving job performance in the hospitals by Occurrence Variance Reporting. Medicine Updates. 2023;12(12):58-62.</w:t>
      </w:r>
    </w:p>
    <w:p w14:paraId="2EED4FAD" w14:textId="79C40894" w:rsidR="007F2092" w:rsidRPr="008B59D5" w:rsidRDefault="007F2092" w:rsidP="009D535B">
      <w:pPr>
        <w:pStyle w:val="EndNoteBibliography"/>
        <w:spacing w:before="0" w:beforeAutospacing="0" w:after="0" w:afterAutospacing="0"/>
        <w:rPr>
          <w:sz w:val="22"/>
          <w:szCs w:val="22"/>
        </w:rPr>
      </w:pPr>
      <w:r w:rsidRPr="008B59D5">
        <w:rPr>
          <w:sz w:val="22"/>
          <w:szCs w:val="22"/>
        </w:rPr>
        <w:t>11.Tear MJ, Reader TW, Shorrock S, Kirwan B. Safety culture and power: Interactions between perceptions of safety culture, organisational hierarchy, and national culture. Safety science. 2020;121:550-61.</w:t>
      </w:r>
    </w:p>
    <w:p w14:paraId="34CBB7AE" w14:textId="708A1ECF" w:rsidR="007F2092" w:rsidRPr="008B59D5" w:rsidRDefault="007F2092" w:rsidP="009D535B">
      <w:pPr>
        <w:pStyle w:val="EndNoteBibliography"/>
        <w:spacing w:before="0" w:beforeAutospacing="0" w:after="0" w:afterAutospacing="0"/>
        <w:rPr>
          <w:sz w:val="22"/>
          <w:szCs w:val="22"/>
        </w:rPr>
      </w:pPr>
      <w:r w:rsidRPr="008B59D5">
        <w:rPr>
          <w:sz w:val="22"/>
          <w:szCs w:val="22"/>
        </w:rPr>
        <w:t>12.Mtawali T. How to Improve Safe Medication Practices and Prevent Medication Errors. magnificat. 2021:65.</w:t>
      </w:r>
    </w:p>
    <w:p w14:paraId="11B46AAE" w14:textId="7DCCCD94" w:rsidR="007F2092" w:rsidRPr="008B59D5" w:rsidRDefault="007F2092" w:rsidP="009D535B">
      <w:pPr>
        <w:pStyle w:val="EndNoteBibliography"/>
        <w:spacing w:before="0" w:beforeAutospacing="0" w:after="0" w:afterAutospacing="0"/>
        <w:rPr>
          <w:sz w:val="22"/>
          <w:szCs w:val="22"/>
        </w:rPr>
      </w:pPr>
      <w:r w:rsidRPr="008B59D5">
        <w:rPr>
          <w:sz w:val="22"/>
          <w:szCs w:val="22"/>
        </w:rPr>
        <w:t>13.Vaida AJ. The Institute for Safe Medication Practices and Poison Control Centers: collaborating to prevent medication errors and unintentional poisonings. Journal of medical toxicology. 2015;11:262-4.</w:t>
      </w:r>
    </w:p>
    <w:p w14:paraId="14404EFF" w14:textId="34F793A3" w:rsidR="007F2092" w:rsidRPr="008B59D5" w:rsidRDefault="007F2092" w:rsidP="009D535B">
      <w:pPr>
        <w:pStyle w:val="EndNoteBibliography"/>
        <w:spacing w:before="0" w:beforeAutospacing="0" w:after="0" w:afterAutospacing="0"/>
        <w:rPr>
          <w:sz w:val="22"/>
          <w:szCs w:val="22"/>
        </w:rPr>
      </w:pPr>
      <w:r w:rsidRPr="008B59D5">
        <w:rPr>
          <w:sz w:val="22"/>
          <w:szCs w:val="22"/>
        </w:rPr>
        <w:t>14.Abella JL. Institutional Practices of a Private Hospital in Saudi Arabia: An Initiative to Improve the Hospital’s Safety Culture. Journal of Patient Safety &amp; Quality Improvement. 2021;9(2):121-8.</w:t>
      </w:r>
    </w:p>
    <w:p w14:paraId="1F92D0DD" w14:textId="18E7AB36" w:rsidR="007F2092" w:rsidRPr="008B59D5" w:rsidRDefault="007F2092" w:rsidP="009D535B">
      <w:pPr>
        <w:pStyle w:val="EndNoteBibliography"/>
        <w:spacing w:before="0" w:beforeAutospacing="0" w:after="0" w:afterAutospacing="0"/>
        <w:rPr>
          <w:sz w:val="22"/>
          <w:szCs w:val="22"/>
        </w:rPr>
      </w:pPr>
      <w:r w:rsidRPr="008B59D5">
        <w:rPr>
          <w:sz w:val="22"/>
          <w:szCs w:val="22"/>
        </w:rPr>
        <w:t>15.Alahmadi H. Assessment of patient safety culture in Saudi Arabian hospitals. Quality and Safety in Health Care. 2010;19(5):e17-e.</w:t>
      </w:r>
    </w:p>
    <w:p w14:paraId="6E9EADFE" w14:textId="0A9FE5AD" w:rsidR="007F2092" w:rsidRPr="008B59D5" w:rsidRDefault="007F2092" w:rsidP="009D535B">
      <w:pPr>
        <w:pStyle w:val="EndNoteBibliography"/>
        <w:spacing w:before="0" w:beforeAutospacing="0" w:after="0" w:afterAutospacing="0"/>
        <w:rPr>
          <w:sz w:val="22"/>
          <w:szCs w:val="22"/>
        </w:rPr>
      </w:pPr>
      <w:r w:rsidRPr="008B59D5">
        <w:rPr>
          <w:sz w:val="22"/>
          <w:szCs w:val="22"/>
        </w:rPr>
        <w:t>16.Algethami F, Alasmari AS, Alessa MK, Alhamid AA, Ateeq MK, Alsulami H, et al. Patient safety culture in a tertiary care hospital in Makkah, Saudi Arabia, a cross-sectional study. BMC Health Services Research. 2024;24(1):883.</w:t>
      </w:r>
    </w:p>
    <w:p w14:paraId="0602EDDF" w14:textId="333AD406" w:rsidR="007F2092" w:rsidRPr="008B59D5" w:rsidRDefault="007F2092" w:rsidP="009D535B">
      <w:pPr>
        <w:pStyle w:val="EndNoteBibliography"/>
        <w:spacing w:before="0" w:beforeAutospacing="0" w:after="0" w:afterAutospacing="0"/>
        <w:rPr>
          <w:sz w:val="22"/>
          <w:szCs w:val="22"/>
        </w:rPr>
      </w:pPr>
      <w:r w:rsidRPr="008B59D5">
        <w:rPr>
          <w:sz w:val="22"/>
          <w:szCs w:val="22"/>
        </w:rPr>
        <w:t>17.Arbaein TJ, Alharbi KK, Alfahmi AA, Alharthi KO, Monshi SS, Alzahrani AM, et al. Makkah healthcare cluster response, challenges, and interventions during COVID-19 pandemic: A qualitative study. Journal of Infection and Public Health. 2024;17(6):975-85.</w:t>
      </w:r>
    </w:p>
    <w:p w14:paraId="0CE979B3" w14:textId="72E4AA2A" w:rsidR="007F2092" w:rsidRPr="008B59D5" w:rsidRDefault="007F2092" w:rsidP="009D535B">
      <w:pPr>
        <w:pStyle w:val="EndNoteBibliography"/>
        <w:spacing w:before="0" w:beforeAutospacing="0" w:after="0" w:afterAutospacing="0"/>
        <w:rPr>
          <w:sz w:val="22"/>
          <w:szCs w:val="22"/>
        </w:rPr>
      </w:pPr>
      <w:r w:rsidRPr="008B59D5">
        <w:rPr>
          <w:sz w:val="22"/>
          <w:szCs w:val="22"/>
        </w:rPr>
        <w:t>18.Febriansyah F, Kusumapradja R, Ahmad H. The Role Of Teamwork In Improving Patient Safety Culture. JMMR (Jurnal Medicoeticolegal Dan Manajemen Rumah Sakit). 2020;9(1):41-52.</w:t>
      </w:r>
    </w:p>
    <w:p w14:paraId="71C95AA1" w14:textId="4961121B" w:rsidR="007F2092" w:rsidRPr="008B59D5" w:rsidRDefault="007F2092" w:rsidP="009D535B">
      <w:pPr>
        <w:pStyle w:val="EndNoteBibliography"/>
        <w:spacing w:before="0" w:beforeAutospacing="0" w:after="0" w:afterAutospacing="0"/>
        <w:rPr>
          <w:sz w:val="22"/>
          <w:szCs w:val="22"/>
        </w:rPr>
      </w:pPr>
      <w:r w:rsidRPr="008B59D5">
        <w:rPr>
          <w:sz w:val="22"/>
          <w:szCs w:val="22"/>
        </w:rPr>
        <w:t>19.Mohammad A, Aljasser I, Sasidhar B. Barriers to reporting medication administration errors among nurses in an accredited hospital in Saudi Arabia. British Journal of Economics, Management &amp; Trade. 2016;11(4):1-13.</w:t>
      </w:r>
    </w:p>
    <w:p w14:paraId="12272B51" w14:textId="2C007199" w:rsidR="007F2092" w:rsidRPr="008B59D5" w:rsidRDefault="007F2092" w:rsidP="009D535B">
      <w:pPr>
        <w:pStyle w:val="EndNoteBibliography"/>
        <w:spacing w:before="0" w:beforeAutospacing="0" w:after="0" w:afterAutospacing="0"/>
        <w:rPr>
          <w:sz w:val="22"/>
          <w:szCs w:val="22"/>
        </w:rPr>
      </w:pPr>
      <w:r w:rsidRPr="008B59D5">
        <w:rPr>
          <w:sz w:val="22"/>
          <w:szCs w:val="22"/>
        </w:rPr>
        <w:t>20.Al-Zain Z, Althumairi A. Awareness, attitudes, practices, and perceived barriers to medical error incident reporting among faculty and health care practitioners (HCPs) in a dental clinic. Journal of Multidisciplinary Healthcare. 2021:735-41.</w:t>
      </w:r>
    </w:p>
    <w:p w14:paraId="61F7C1EB" w14:textId="2812C19E" w:rsidR="007F2092" w:rsidRPr="008B59D5" w:rsidRDefault="007F2092" w:rsidP="009D535B">
      <w:pPr>
        <w:pStyle w:val="EndNoteBibliography"/>
        <w:spacing w:before="0" w:beforeAutospacing="0" w:after="0" w:afterAutospacing="0"/>
        <w:jc w:val="left"/>
        <w:rPr>
          <w:sz w:val="22"/>
          <w:szCs w:val="22"/>
        </w:rPr>
      </w:pPr>
      <w:r w:rsidRPr="008B59D5">
        <w:rPr>
          <w:sz w:val="22"/>
          <w:szCs w:val="22"/>
        </w:rPr>
        <w:t>21.Poku CA, Bayuo J, Kwashie AA, Ofei AMA. Intervention to improve adverse event reporting in the emergency department: Protocol of a systematic review and meta-analysis. Plos one. 2024;19(8):e0306885.</w:t>
      </w:r>
    </w:p>
    <w:p w14:paraId="0A18C5FF" w14:textId="729A855D" w:rsidR="007F2092" w:rsidRPr="008B59D5" w:rsidRDefault="007F2092" w:rsidP="009D535B">
      <w:pPr>
        <w:pStyle w:val="EndNoteBibliography"/>
        <w:spacing w:before="0" w:beforeAutospacing="0" w:after="0" w:afterAutospacing="0"/>
        <w:rPr>
          <w:sz w:val="22"/>
          <w:szCs w:val="22"/>
        </w:rPr>
      </w:pPr>
      <w:r w:rsidRPr="008B59D5">
        <w:rPr>
          <w:sz w:val="22"/>
          <w:szCs w:val="22"/>
        </w:rPr>
        <w:t>22.Brondial S, Alhasani A, Elfaiomy MA, Radwan MA. 56 Electronic occurrence variance reports (eOVR) management system. British Medical Journal Publishing Group; 2019.</w:t>
      </w:r>
    </w:p>
    <w:p w14:paraId="445FA91B" w14:textId="2CFB3F1E" w:rsidR="007F2092" w:rsidRPr="008B59D5" w:rsidRDefault="007F2092" w:rsidP="009D535B">
      <w:pPr>
        <w:pStyle w:val="EndNoteBibliography"/>
        <w:spacing w:before="0" w:beforeAutospacing="0" w:after="0" w:afterAutospacing="0"/>
        <w:rPr>
          <w:sz w:val="22"/>
          <w:szCs w:val="22"/>
        </w:rPr>
      </w:pPr>
      <w:r w:rsidRPr="008B59D5">
        <w:rPr>
          <w:sz w:val="22"/>
          <w:szCs w:val="22"/>
        </w:rPr>
        <w:t>23.Elsayed MM, Makram AM, Alresheedi AA, Makram OM. Electronic occurrence variance reporting system: A reliable multi-platform system for the low-income settings. Health Policy and Technology. 2023;12(1):100720.</w:t>
      </w:r>
    </w:p>
    <w:p w14:paraId="036AB862" w14:textId="3DB11EF7" w:rsidR="007F2092" w:rsidRPr="008B59D5" w:rsidRDefault="007F2092" w:rsidP="009D535B">
      <w:pPr>
        <w:pStyle w:val="EndNoteBibliography"/>
        <w:spacing w:before="0" w:beforeAutospacing="0" w:after="0" w:afterAutospacing="0"/>
        <w:rPr>
          <w:sz w:val="22"/>
          <w:szCs w:val="22"/>
        </w:rPr>
      </w:pPr>
      <w:r w:rsidRPr="008B59D5">
        <w:rPr>
          <w:sz w:val="22"/>
          <w:szCs w:val="22"/>
        </w:rPr>
        <w:t>24.Elashmawy M. Improving the performance of a parabolic concentrator solar tracking-tubular solar still (PCST-TSS) using gravel as a sensible heat storage material. Desalination. 2020;473:114182.</w:t>
      </w:r>
      <w:r w:rsidR="007D5779" w:rsidRPr="008B59D5">
        <w:rPr>
          <w:sz w:val="22"/>
          <w:szCs w:val="22"/>
        </w:rPr>
        <w:t xml:space="preserve"> </w:t>
      </w:r>
    </w:p>
    <w:p w14:paraId="118C6467" w14:textId="4EFDC4FE" w:rsidR="007F2092" w:rsidRPr="008B59D5" w:rsidRDefault="007F2092" w:rsidP="009D535B">
      <w:pPr>
        <w:pStyle w:val="EndNoteBibliography"/>
        <w:spacing w:before="0" w:beforeAutospacing="0" w:after="0" w:afterAutospacing="0"/>
        <w:rPr>
          <w:sz w:val="22"/>
          <w:szCs w:val="22"/>
        </w:rPr>
      </w:pPr>
      <w:r w:rsidRPr="008B59D5">
        <w:rPr>
          <w:sz w:val="22"/>
          <w:szCs w:val="22"/>
        </w:rPr>
        <w:t>25.Elsehrawy MG, Gaballah S, Ibrahim AM, Mohamed HA. Health Care professionals' Awareness of Occurrence Variance Reports at Accredited Versus Non-Accredited Hospitals: A Cross-Sectional Comparative Study. International Egyptian Journal of Nursing Sciences and Research. 2023;4(1):17-24.</w:t>
      </w:r>
    </w:p>
    <w:p w14:paraId="15ACBEB0" w14:textId="787B2740" w:rsidR="007F2092" w:rsidRPr="008B59D5" w:rsidRDefault="007F2092" w:rsidP="009D535B">
      <w:pPr>
        <w:pStyle w:val="EndNoteBibliography"/>
        <w:spacing w:before="0" w:beforeAutospacing="0" w:after="0" w:afterAutospacing="0"/>
        <w:rPr>
          <w:sz w:val="22"/>
          <w:szCs w:val="22"/>
        </w:rPr>
      </w:pPr>
      <w:r w:rsidRPr="008B59D5">
        <w:rPr>
          <w:sz w:val="22"/>
          <w:szCs w:val="22"/>
        </w:rPr>
        <w:t>26.Caldas BdN, Portela MC, Singer SJ, Aveling E-L. How can implementation of a large-scale patient safety program strengthen hospital safety culture? Lessons from a qualitative study of national patient safety program implementation in two public hospitals in Brazil. Medical Care Research and Review. 2022;79(4):562-75.</w:t>
      </w:r>
    </w:p>
    <w:p w14:paraId="111B1925" w14:textId="69EC114D" w:rsidR="007F2092" w:rsidRPr="008B59D5" w:rsidRDefault="007F2092" w:rsidP="009D535B">
      <w:pPr>
        <w:pStyle w:val="EndNoteBibliography"/>
        <w:spacing w:before="0" w:beforeAutospacing="0" w:after="0" w:afterAutospacing="0"/>
        <w:rPr>
          <w:sz w:val="22"/>
          <w:szCs w:val="22"/>
        </w:rPr>
      </w:pPr>
      <w:r w:rsidRPr="008B59D5">
        <w:rPr>
          <w:sz w:val="22"/>
          <w:szCs w:val="22"/>
        </w:rPr>
        <w:t>27.Ibrahim N-AG, El Bokhary MS, Alber N. APPLICATION OF THE ENVIRONMENTAL HEALTH STANDARDS AS A PRE-REQUISITE FOR THE ACCREDITATION OF THE HEALTH CARE INSTITUTIONS. Journal of Environmental Science. 2019;48(2):19-36.</w:t>
      </w:r>
    </w:p>
    <w:p w14:paraId="7A88F080" w14:textId="279DC06E" w:rsidR="007F2092" w:rsidRPr="008B59D5" w:rsidRDefault="007F2092" w:rsidP="009D535B">
      <w:pPr>
        <w:pStyle w:val="EndNoteBibliography"/>
        <w:spacing w:before="0" w:beforeAutospacing="0" w:after="0" w:afterAutospacing="0"/>
        <w:rPr>
          <w:sz w:val="22"/>
          <w:szCs w:val="22"/>
        </w:rPr>
      </w:pPr>
      <w:r w:rsidRPr="008B59D5">
        <w:rPr>
          <w:sz w:val="22"/>
          <w:szCs w:val="22"/>
        </w:rPr>
        <w:t>28.Liana D, Maratis, J., Fauziah, N., &amp; Dwijayanti, F. Safety culture in accredited hospitals during the pandemic of COVID-19. International Journal of Research and Review. 2024.</w:t>
      </w:r>
    </w:p>
    <w:p w14:paraId="737304A3" w14:textId="38BC3264" w:rsidR="007F2092" w:rsidRPr="008B59D5" w:rsidRDefault="007F2092" w:rsidP="009D535B">
      <w:pPr>
        <w:pStyle w:val="EndNoteBibliography"/>
        <w:spacing w:before="0" w:beforeAutospacing="0" w:after="0" w:afterAutospacing="0"/>
        <w:rPr>
          <w:sz w:val="22"/>
          <w:szCs w:val="22"/>
        </w:rPr>
      </w:pPr>
      <w:r w:rsidRPr="008B59D5">
        <w:rPr>
          <w:sz w:val="22"/>
          <w:szCs w:val="22"/>
        </w:rPr>
        <w:t>29.Althobaiti M, Alghamdi AJ, Almalki M, Alkarani AS, Alamri S. Identification of factors affecting patient safety in the emergency department: A retrospective study. Journal of Clinical and Diagnostic Research. 2022;16(3):LC01-LC5.</w:t>
      </w:r>
    </w:p>
    <w:p w14:paraId="0EC1533E" w14:textId="2060B2E8" w:rsidR="007F2092" w:rsidRPr="008B59D5" w:rsidRDefault="007F2092" w:rsidP="009D535B">
      <w:pPr>
        <w:pStyle w:val="EndNoteBibliography"/>
        <w:spacing w:before="0" w:beforeAutospacing="0" w:after="0" w:afterAutospacing="0"/>
        <w:rPr>
          <w:sz w:val="22"/>
          <w:szCs w:val="22"/>
        </w:rPr>
      </w:pPr>
      <w:r w:rsidRPr="008B59D5">
        <w:rPr>
          <w:sz w:val="22"/>
          <w:szCs w:val="22"/>
        </w:rPr>
        <w:t>30.Çınarlı Tk, Zeliha &amp; Akdemir, Hızır &amp; Kati, Celal. Factors Affecting Patient Safety Culture And Medical Error Prevalence In Emergency Services. . Sağlık ve Hemşirelik Yönetimi Dergisi 2020.</w:t>
      </w:r>
    </w:p>
    <w:p w14:paraId="56F8D2DD" w14:textId="26E60471" w:rsidR="007F2092" w:rsidRPr="008B59D5" w:rsidRDefault="007F2092" w:rsidP="009D535B">
      <w:pPr>
        <w:pStyle w:val="EndNoteBibliography"/>
        <w:spacing w:before="0" w:beforeAutospacing="0" w:after="0" w:afterAutospacing="0"/>
        <w:rPr>
          <w:sz w:val="22"/>
          <w:szCs w:val="22"/>
        </w:rPr>
      </w:pPr>
      <w:r w:rsidRPr="008B59D5">
        <w:rPr>
          <w:sz w:val="22"/>
          <w:szCs w:val="22"/>
        </w:rPr>
        <w:t>31.Bos K, Dongelmans DA, Greuters S, Kamps G-J, Van Der Laan MJ. The next step in learning from sentinel events in healthcare. BMJ open quality. 2020;9(1):e000739.</w:t>
      </w:r>
    </w:p>
    <w:p w14:paraId="061A4FE0" w14:textId="61451BEB" w:rsidR="007F2092" w:rsidRPr="008B59D5" w:rsidRDefault="007F2092" w:rsidP="009D535B">
      <w:pPr>
        <w:pStyle w:val="EndNoteBibliography"/>
        <w:spacing w:before="0" w:beforeAutospacing="0" w:after="0" w:afterAutospacing="0"/>
        <w:rPr>
          <w:sz w:val="22"/>
          <w:szCs w:val="22"/>
        </w:rPr>
      </w:pPr>
      <w:r w:rsidRPr="008B59D5">
        <w:rPr>
          <w:sz w:val="22"/>
          <w:szCs w:val="22"/>
        </w:rPr>
        <w:t>32.Altalhi N, Alnaimi H, Chaouali M, Alahmari F, Alabdulkareem N, Alaama T. Top four types of sentinel events in Saudi Arabia during the period 2016–19. International Journal for Quality in Health Care. 2021;33(1):mzab026.</w:t>
      </w:r>
    </w:p>
    <w:p w14:paraId="63524541" w14:textId="334D0168" w:rsidR="007F2092" w:rsidRPr="008B59D5" w:rsidRDefault="007F2092" w:rsidP="009D535B">
      <w:pPr>
        <w:pStyle w:val="EndNoteBibliography"/>
        <w:spacing w:before="0" w:beforeAutospacing="0" w:after="0" w:afterAutospacing="0"/>
        <w:rPr>
          <w:sz w:val="22"/>
          <w:szCs w:val="22"/>
        </w:rPr>
      </w:pPr>
      <w:r w:rsidRPr="008B59D5">
        <w:rPr>
          <w:sz w:val="22"/>
          <w:szCs w:val="22"/>
        </w:rPr>
        <w:t>33.Amaniyan S, Faldaas BO, Logan PA, Vaismoradi M. Learning from patient safety incidents in the emergency department: a systematic review. The Journal of emergency medicine. 2020;58(2):234-44.</w:t>
      </w:r>
    </w:p>
    <w:p w14:paraId="042BBA68" w14:textId="2C3BB000" w:rsidR="007F2092" w:rsidRPr="008B59D5" w:rsidRDefault="007F2092" w:rsidP="009D535B">
      <w:pPr>
        <w:pStyle w:val="EndNoteBibliography"/>
        <w:spacing w:before="0" w:beforeAutospacing="0" w:after="0" w:afterAutospacing="0"/>
        <w:rPr>
          <w:sz w:val="22"/>
          <w:szCs w:val="22"/>
        </w:rPr>
      </w:pPr>
      <w:r w:rsidRPr="008B59D5">
        <w:rPr>
          <w:sz w:val="22"/>
          <w:szCs w:val="22"/>
        </w:rPr>
        <w:t>34.Stavropoulou C, Doherty C, Tosey P. How effective are incident‐reporting systems for improving patient safety? A systematic literature review. The Milbank Quarterly. 2015;93(4):826-66.</w:t>
      </w:r>
    </w:p>
    <w:p w14:paraId="15AB5D78" w14:textId="08DBB2D7" w:rsidR="007F2092" w:rsidRPr="008B59D5" w:rsidRDefault="007F2092" w:rsidP="009D535B">
      <w:pPr>
        <w:pStyle w:val="EndNoteBibliography"/>
        <w:spacing w:before="0" w:beforeAutospacing="0" w:after="0" w:afterAutospacing="0"/>
        <w:rPr>
          <w:sz w:val="22"/>
          <w:szCs w:val="22"/>
        </w:rPr>
      </w:pPr>
      <w:r w:rsidRPr="008B59D5">
        <w:rPr>
          <w:sz w:val="22"/>
          <w:szCs w:val="22"/>
        </w:rPr>
        <w:t>35.Sikora A. Critical care pharmacists: a focus on horizons. Critical Care Clinics. 2023;39(3):503-27.</w:t>
      </w:r>
    </w:p>
    <w:p w14:paraId="37CE83CC" w14:textId="77777777" w:rsidR="009D535B" w:rsidRDefault="008F66EE" w:rsidP="009D535B">
      <w:pPr>
        <w:spacing w:before="0" w:beforeAutospacing="0" w:after="0" w:afterAutospacing="0" w:line="240" w:lineRule="auto"/>
        <w:rPr>
          <w:rFonts w:cs="Times New Roman"/>
          <w:b/>
          <w:sz w:val="22"/>
          <w:szCs w:val="22"/>
        </w:rPr>
      </w:pPr>
      <w:r w:rsidRPr="008B59D5">
        <w:rPr>
          <w:rFonts w:cs="Times New Roman"/>
          <w:sz w:val="22"/>
          <w:szCs w:val="22"/>
        </w:rPr>
        <w:fldChar w:fldCharType="end"/>
      </w:r>
      <w:r w:rsidR="009D535B" w:rsidRPr="009D535B">
        <w:rPr>
          <w:rFonts w:cs="Times New Roman"/>
          <w:b/>
          <w:sz w:val="22"/>
          <w:szCs w:val="22"/>
        </w:rPr>
        <w:t xml:space="preserve"> </w:t>
      </w:r>
    </w:p>
    <w:p w14:paraId="49CA8DDC" w14:textId="778EAEA2" w:rsidR="009D535B" w:rsidRPr="00DF2AA9" w:rsidRDefault="009D535B" w:rsidP="009D535B">
      <w:pPr>
        <w:spacing w:before="0" w:beforeAutospacing="0" w:after="0" w:afterAutospacing="0" w:line="240" w:lineRule="auto"/>
        <w:rPr>
          <w:rFonts w:cs="Times New Roman"/>
          <w:b/>
          <w:sz w:val="22"/>
          <w:szCs w:val="22"/>
        </w:rPr>
      </w:pPr>
      <w:r w:rsidRPr="008B59D5">
        <w:rPr>
          <w:rFonts w:cs="Times New Roman"/>
          <w:b/>
          <w:sz w:val="22"/>
          <w:szCs w:val="22"/>
        </w:rPr>
        <w:t>APPENDIX-A</w:t>
      </w:r>
    </w:p>
    <w:p w14:paraId="3F773968" w14:textId="7AB11C11" w:rsidR="009D535B" w:rsidRDefault="009D535B" w:rsidP="009D535B">
      <w:pPr>
        <w:spacing w:before="0" w:beforeAutospacing="0" w:after="0" w:afterAutospacing="0" w:line="240" w:lineRule="auto"/>
        <w:rPr>
          <w:rFonts w:cs="Times New Roman"/>
          <w:sz w:val="22"/>
          <w:szCs w:val="22"/>
        </w:rPr>
      </w:pPr>
    </w:p>
    <w:p w14:paraId="717E2CE5" w14:textId="77777777" w:rsidR="009D535B" w:rsidRDefault="009D535B" w:rsidP="009D535B">
      <w:pPr>
        <w:spacing w:before="0" w:beforeAutospacing="0" w:after="0" w:afterAutospacing="0" w:line="240" w:lineRule="auto"/>
        <w:rPr>
          <w:rFonts w:cs="Times New Roman"/>
          <w:sz w:val="22"/>
          <w:szCs w:val="22"/>
        </w:rPr>
      </w:pPr>
    </w:p>
    <w:p w14:paraId="14D1109E" w14:textId="77777777" w:rsidR="009D535B" w:rsidRDefault="009D535B" w:rsidP="009D535B">
      <w:pPr>
        <w:spacing w:before="0" w:beforeAutospacing="0" w:after="0" w:afterAutospacing="0" w:line="240" w:lineRule="auto"/>
        <w:rPr>
          <w:rFonts w:cs="Times New Roman"/>
          <w:sz w:val="22"/>
          <w:szCs w:val="22"/>
        </w:rPr>
      </w:pPr>
    </w:p>
    <w:p w14:paraId="00D6D951" w14:textId="77777777" w:rsidR="009D535B" w:rsidRDefault="009D535B" w:rsidP="009D535B">
      <w:pPr>
        <w:spacing w:before="0" w:beforeAutospacing="0" w:after="0" w:afterAutospacing="0" w:line="240" w:lineRule="auto"/>
        <w:rPr>
          <w:rFonts w:cs="Times New Roman"/>
          <w:sz w:val="22"/>
          <w:szCs w:val="22"/>
        </w:rPr>
      </w:pPr>
    </w:p>
    <w:p w14:paraId="4EA28854" w14:textId="77777777" w:rsidR="009D535B" w:rsidRDefault="009D535B" w:rsidP="009D535B">
      <w:pPr>
        <w:spacing w:before="0" w:beforeAutospacing="0" w:after="0" w:afterAutospacing="0" w:line="240" w:lineRule="auto"/>
        <w:rPr>
          <w:rFonts w:cs="Times New Roman"/>
          <w:sz w:val="22"/>
          <w:szCs w:val="22"/>
        </w:rPr>
      </w:pPr>
    </w:p>
    <w:p w14:paraId="6C0E82F9" w14:textId="77777777" w:rsidR="009D535B" w:rsidRDefault="009D535B" w:rsidP="009D535B">
      <w:pPr>
        <w:spacing w:before="0" w:beforeAutospacing="0" w:after="0" w:afterAutospacing="0" w:line="240" w:lineRule="auto"/>
        <w:rPr>
          <w:rFonts w:cs="Times New Roman"/>
          <w:sz w:val="22"/>
          <w:szCs w:val="22"/>
        </w:rPr>
      </w:pPr>
    </w:p>
    <w:tbl>
      <w:tblPr>
        <w:tblStyle w:val="TableGrid"/>
        <w:tblpPr w:leftFromText="180" w:rightFromText="180" w:vertAnchor="text" w:horzAnchor="margin" w:tblpX="137" w:tblpY="743"/>
        <w:tblW w:w="4162" w:type="pct"/>
        <w:tblLook w:val="04A0" w:firstRow="1" w:lastRow="0" w:firstColumn="1" w:lastColumn="0" w:noHBand="0" w:noVBand="1"/>
      </w:tblPr>
      <w:tblGrid>
        <w:gridCol w:w="1277"/>
        <w:gridCol w:w="1447"/>
        <w:gridCol w:w="4781"/>
      </w:tblGrid>
      <w:tr w:rsidR="00DF2AA9" w:rsidRPr="008B59D5" w14:paraId="14CEBE09" w14:textId="77777777" w:rsidTr="00DF2AA9">
        <w:trPr>
          <w:trHeight w:val="281"/>
        </w:trPr>
        <w:tc>
          <w:tcPr>
            <w:tcW w:w="851" w:type="pct"/>
            <w:vAlign w:val="center"/>
          </w:tcPr>
          <w:p w14:paraId="723D0E4D" w14:textId="77777777" w:rsidR="00DF2AA9" w:rsidRPr="008B59D5" w:rsidRDefault="00DF2AA9" w:rsidP="00DF2AA9">
            <w:pPr>
              <w:spacing w:before="0" w:beforeAutospacing="0" w:after="0" w:afterAutospacing="0" w:line="240" w:lineRule="auto"/>
              <w:rPr>
                <w:rFonts w:eastAsia="Times New Roman" w:cs="Times New Roman"/>
                <w:b/>
                <w:bCs/>
                <w:kern w:val="0"/>
                <w:sz w:val="22"/>
                <w:szCs w:val="22"/>
                <w14:ligatures w14:val="none"/>
              </w:rPr>
            </w:pPr>
            <w:r w:rsidRPr="008B59D5">
              <w:rPr>
                <w:rFonts w:eastAsia="Times New Roman" w:cs="Times New Roman"/>
                <w:b/>
                <w:bCs/>
                <w:kern w:val="0"/>
                <w:sz w:val="22"/>
                <w:szCs w:val="22"/>
                <w14:ligatures w14:val="none"/>
              </w:rPr>
              <w:t>S. No</w:t>
            </w:r>
          </w:p>
        </w:tc>
        <w:tc>
          <w:tcPr>
            <w:tcW w:w="964" w:type="pct"/>
            <w:vAlign w:val="center"/>
            <w:hideMark/>
          </w:tcPr>
          <w:p w14:paraId="2B5A9A56" w14:textId="77777777" w:rsidR="00DF2AA9" w:rsidRPr="008B59D5" w:rsidRDefault="00DF2AA9" w:rsidP="00DF2AA9">
            <w:pPr>
              <w:spacing w:before="0" w:beforeAutospacing="0" w:after="0" w:afterAutospacing="0" w:line="240" w:lineRule="auto"/>
              <w:rPr>
                <w:rFonts w:eastAsia="Times New Roman" w:cs="Times New Roman"/>
                <w:b/>
                <w:bCs/>
                <w:kern w:val="0"/>
                <w:sz w:val="22"/>
                <w:szCs w:val="22"/>
                <w14:ligatures w14:val="none"/>
              </w:rPr>
            </w:pPr>
            <w:r w:rsidRPr="008B59D5">
              <w:rPr>
                <w:rFonts w:eastAsia="Times New Roman" w:cs="Times New Roman"/>
                <w:b/>
                <w:bCs/>
                <w:kern w:val="0"/>
                <w:sz w:val="22"/>
                <w:szCs w:val="22"/>
                <w14:ligatures w14:val="none"/>
              </w:rPr>
              <w:t>Acronym</w:t>
            </w:r>
          </w:p>
        </w:tc>
        <w:tc>
          <w:tcPr>
            <w:tcW w:w="3185" w:type="pct"/>
            <w:vAlign w:val="center"/>
            <w:hideMark/>
          </w:tcPr>
          <w:p w14:paraId="4DDF911C" w14:textId="77777777" w:rsidR="00DF2AA9" w:rsidRPr="008B59D5" w:rsidRDefault="00DF2AA9" w:rsidP="00DF2AA9">
            <w:pPr>
              <w:spacing w:before="0" w:beforeAutospacing="0" w:after="0" w:afterAutospacing="0" w:line="240" w:lineRule="auto"/>
              <w:rPr>
                <w:rFonts w:eastAsia="Times New Roman" w:cs="Times New Roman"/>
                <w:b/>
                <w:bCs/>
                <w:kern w:val="0"/>
                <w:sz w:val="22"/>
                <w:szCs w:val="22"/>
                <w14:ligatures w14:val="none"/>
              </w:rPr>
            </w:pPr>
            <w:r w:rsidRPr="008B59D5">
              <w:rPr>
                <w:rFonts w:eastAsia="Times New Roman" w:cs="Times New Roman"/>
                <w:b/>
                <w:bCs/>
                <w:kern w:val="0"/>
                <w:sz w:val="22"/>
                <w:szCs w:val="22"/>
                <w14:ligatures w14:val="none"/>
              </w:rPr>
              <w:t>Full Form</w:t>
            </w:r>
          </w:p>
        </w:tc>
      </w:tr>
      <w:tr w:rsidR="00DF2AA9" w:rsidRPr="008B59D5" w14:paraId="6F81ECDE" w14:textId="77777777" w:rsidTr="00DF2AA9">
        <w:trPr>
          <w:trHeight w:val="281"/>
        </w:trPr>
        <w:tc>
          <w:tcPr>
            <w:tcW w:w="851" w:type="pct"/>
            <w:vAlign w:val="center"/>
          </w:tcPr>
          <w:p w14:paraId="5A5D1118"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1</w:t>
            </w:r>
          </w:p>
        </w:tc>
        <w:tc>
          <w:tcPr>
            <w:tcW w:w="964" w:type="pct"/>
            <w:vAlign w:val="center"/>
            <w:hideMark/>
          </w:tcPr>
          <w:p w14:paraId="3F65BDE7"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KAMC</w:t>
            </w:r>
          </w:p>
        </w:tc>
        <w:tc>
          <w:tcPr>
            <w:tcW w:w="3185" w:type="pct"/>
            <w:vAlign w:val="center"/>
            <w:hideMark/>
          </w:tcPr>
          <w:p w14:paraId="3D332E3F"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King Abdullah Medical City</w:t>
            </w:r>
          </w:p>
        </w:tc>
      </w:tr>
      <w:tr w:rsidR="00DF2AA9" w:rsidRPr="008B59D5" w14:paraId="6DC935A7" w14:textId="77777777" w:rsidTr="00DF2AA9">
        <w:trPr>
          <w:trHeight w:val="281"/>
        </w:trPr>
        <w:tc>
          <w:tcPr>
            <w:tcW w:w="851" w:type="pct"/>
            <w:vAlign w:val="center"/>
          </w:tcPr>
          <w:p w14:paraId="6668F383"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2</w:t>
            </w:r>
          </w:p>
        </w:tc>
        <w:tc>
          <w:tcPr>
            <w:tcW w:w="964" w:type="pct"/>
            <w:vAlign w:val="center"/>
            <w:hideMark/>
          </w:tcPr>
          <w:p w14:paraId="6352D3F6"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NSH</w:t>
            </w:r>
          </w:p>
        </w:tc>
        <w:tc>
          <w:tcPr>
            <w:tcW w:w="3185" w:type="pct"/>
            <w:vAlign w:val="center"/>
            <w:hideMark/>
          </w:tcPr>
          <w:p w14:paraId="7B9A695E"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Noor Specialist Hospital</w:t>
            </w:r>
          </w:p>
        </w:tc>
      </w:tr>
      <w:tr w:rsidR="00DF2AA9" w:rsidRPr="008B59D5" w14:paraId="3A91C33A" w14:textId="77777777" w:rsidTr="00DF2AA9">
        <w:trPr>
          <w:trHeight w:val="281"/>
        </w:trPr>
        <w:tc>
          <w:tcPr>
            <w:tcW w:w="851" w:type="pct"/>
            <w:vAlign w:val="center"/>
          </w:tcPr>
          <w:p w14:paraId="5B1C4745"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3</w:t>
            </w:r>
          </w:p>
        </w:tc>
        <w:tc>
          <w:tcPr>
            <w:tcW w:w="964" w:type="pct"/>
            <w:vAlign w:val="center"/>
            <w:hideMark/>
          </w:tcPr>
          <w:p w14:paraId="66E708CB"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MCH</w:t>
            </w:r>
          </w:p>
        </w:tc>
        <w:tc>
          <w:tcPr>
            <w:tcW w:w="3185" w:type="pct"/>
            <w:vAlign w:val="center"/>
            <w:hideMark/>
          </w:tcPr>
          <w:p w14:paraId="48492EB5"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Maternity and Children's Hospital</w:t>
            </w:r>
          </w:p>
        </w:tc>
      </w:tr>
      <w:tr w:rsidR="00DF2AA9" w:rsidRPr="008B59D5" w14:paraId="56873C78" w14:textId="77777777" w:rsidTr="00DF2AA9">
        <w:trPr>
          <w:trHeight w:val="281"/>
        </w:trPr>
        <w:tc>
          <w:tcPr>
            <w:tcW w:w="851" w:type="pct"/>
            <w:vAlign w:val="center"/>
          </w:tcPr>
          <w:p w14:paraId="04FB4A03"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4</w:t>
            </w:r>
          </w:p>
        </w:tc>
        <w:tc>
          <w:tcPr>
            <w:tcW w:w="964" w:type="pct"/>
            <w:vAlign w:val="center"/>
            <w:hideMark/>
          </w:tcPr>
          <w:p w14:paraId="37530292"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KAAH</w:t>
            </w:r>
          </w:p>
        </w:tc>
        <w:tc>
          <w:tcPr>
            <w:tcW w:w="3185" w:type="pct"/>
            <w:vAlign w:val="center"/>
            <w:hideMark/>
          </w:tcPr>
          <w:p w14:paraId="06967EB3"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King Abdulaziz Hospital</w:t>
            </w:r>
          </w:p>
        </w:tc>
      </w:tr>
      <w:tr w:rsidR="00DF2AA9" w:rsidRPr="008B59D5" w14:paraId="12BDA20D" w14:textId="77777777" w:rsidTr="00DF2AA9">
        <w:trPr>
          <w:trHeight w:val="266"/>
        </w:trPr>
        <w:tc>
          <w:tcPr>
            <w:tcW w:w="851" w:type="pct"/>
            <w:vAlign w:val="center"/>
          </w:tcPr>
          <w:p w14:paraId="1D279E37"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5</w:t>
            </w:r>
          </w:p>
        </w:tc>
        <w:tc>
          <w:tcPr>
            <w:tcW w:w="964" w:type="pct"/>
            <w:vAlign w:val="center"/>
            <w:hideMark/>
          </w:tcPr>
          <w:p w14:paraId="13ED568F"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KFH</w:t>
            </w:r>
          </w:p>
        </w:tc>
        <w:tc>
          <w:tcPr>
            <w:tcW w:w="3185" w:type="pct"/>
            <w:vAlign w:val="center"/>
            <w:hideMark/>
          </w:tcPr>
          <w:p w14:paraId="131E76BB"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King Faisal Hospital</w:t>
            </w:r>
          </w:p>
        </w:tc>
      </w:tr>
      <w:tr w:rsidR="00DF2AA9" w:rsidRPr="008B59D5" w14:paraId="5BDFA0D1" w14:textId="77777777" w:rsidTr="00DF2AA9">
        <w:trPr>
          <w:trHeight w:val="281"/>
        </w:trPr>
        <w:tc>
          <w:tcPr>
            <w:tcW w:w="851" w:type="pct"/>
            <w:vAlign w:val="center"/>
          </w:tcPr>
          <w:p w14:paraId="0FFE9675"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6</w:t>
            </w:r>
          </w:p>
        </w:tc>
        <w:tc>
          <w:tcPr>
            <w:tcW w:w="964" w:type="pct"/>
            <w:vAlign w:val="center"/>
            <w:hideMark/>
          </w:tcPr>
          <w:p w14:paraId="34DEAFCA"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HGH</w:t>
            </w:r>
          </w:p>
        </w:tc>
        <w:tc>
          <w:tcPr>
            <w:tcW w:w="3185" w:type="pct"/>
            <w:vAlign w:val="center"/>
            <w:hideMark/>
          </w:tcPr>
          <w:p w14:paraId="5E0AB571"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Hera General Hospital</w:t>
            </w:r>
          </w:p>
        </w:tc>
      </w:tr>
      <w:tr w:rsidR="00DF2AA9" w:rsidRPr="008B59D5" w14:paraId="0D100CC1" w14:textId="77777777" w:rsidTr="00DF2AA9">
        <w:trPr>
          <w:trHeight w:val="281"/>
        </w:trPr>
        <w:tc>
          <w:tcPr>
            <w:tcW w:w="851" w:type="pct"/>
            <w:vAlign w:val="center"/>
          </w:tcPr>
          <w:p w14:paraId="2D2959ED"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7</w:t>
            </w:r>
          </w:p>
        </w:tc>
        <w:tc>
          <w:tcPr>
            <w:tcW w:w="964" w:type="pct"/>
            <w:vAlign w:val="center"/>
            <w:hideMark/>
          </w:tcPr>
          <w:p w14:paraId="266BB76F"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AEH</w:t>
            </w:r>
          </w:p>
        </w:tc>
        <w:tc>
          <w:tcPr>
            <w:tcW w:w="3185" w:type="pct"/>
            <w:vAlign w:val="center"/>
            <w:hideMark/>
          </w:tcPr>
          <w:p w14:paraId="0D68EB1A"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proofErr w:type="spellStart"/>
            <w:r w:rsidRPr="008B59D5">
              <w:rPr>
                <w:rFonts w:eastAsia="Times New Roman" w:cs="Times New Roman"/>
                <w:kern w:val="0"/>
                <w:sz w:val="22"/>
                <w:szCs w:val="22"/>
                <w14:ligatures w14:val="none"/>
              </w:rPr>
              <w:t>Ajyad</w:t>
            </w:r>
            <w:proofErr w:type="spellEnd"/>
            <w:r w:rsidRPr="008B59D5">
              <w:rPr>
                <w:rFonts w:eastAsia="Times New Roman" w:cs="Times New Roman"/>
                <w:kern w:val="0"/>
                <w:sz w:val="22"/>
                <w:szCs w:val="22"/>
                <w14:ligatures w14:val="none"/>
              </w:rPr>
              <w:t xml:space="preserve"> General Hospital</w:t>
            </w:r>
          </w:p>
        </w:tc>
      </w:tr>
      <w:tr w:rsidR="00DF2AA9" w:rsidRPr="008B59D5" w14:paraId="7D478AF2" w14:textId="77777777" w:rsidTr="00DF2AA9">
        <w:trPr>
          <w:trHeight w:val="281"/>
        </w:trPr>
        <w:tc>
          <w:tcPr>
            <w:tcW w:w="851" w:type="pct"/>
            <w:vAlign w:val="center"/>
          </w:tcPr>
          <w:p w14:paraId="3BC60674"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8</w:t>
            </w:r>
          </w:p>
        </w:tc>
        <w:tc>
          <w:tcPr>
            <w:tcW w:w="964" w:type="pct"/>
            <w:vAlign w:val="center"/>
            <w:hideMark/>
          </w:tcPr>
          <w:p w14:paraId="36F26EC7"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AKH</w:t>
            </w:r>
          </w:p>
        </w:tc>
        <w:tc>
          <w:tcPr>
            <w:tcW w:w="3185" w:type="pct"/>
            <w:vAlign w:val="center"/>
            <w:hideMark/>
          </w:tcPr>
          <w:p w14:paraId="0D908B95"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proofErr w:type="spellStart"/>
            <w:r w:rsidRPr="008B59D5">
              <w:rPr>
                <w:rFonts w:eastAsia="Times New Roman" w:cs="Times New Roman"/>
                <w:kern w:val="0"/>
                <w:sz w:val="22"/>
                <w:szCs w:val="22"/>
                <w14:ligatures w14:val="none"/>
              </w:rPr>
              <w:t>Alkamel</w:t>
            </w:r>
            <w:proofErr w:type="spellEnd"/>
            <w:r w:rsidRPr="008B59D5">
              <w:rPr>
                <w:rFonts w:eastAsia="Times New Roman" w:cs="Times New Roman"/>
                <w:kern w:val="0"/>
                <w:sz w:val="22"/>
                <w:szCs w:val="22"/>
                <w14:ligatures w14:val="none"/>
              </w:rPr>
              <w:t xml:space="preserve"> Hospital</w:t>
            </w:r>
          </w:p>
        </w:tc>
      </w:tr>
      <w:tr w:rsidR="00DF2AA9" w:rsidRPr="008B59D5" w14:paraId="58325BCB" w14:textId="77777777" w:rsidTr="00DF2AA9">
        <w:trPr>
          <w:trHeight w:val="281"/>
        </w:trPr>
        <w:tc>
          <w:tcPr>
            <w:tcW w:w="851" w:type="pct"/>
            <w:vAlign w:val="center"/>
          </w:tcPr>
          <w:p w14:paraId="3CAA727B"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9</w:t>
            </w:r>
          </w:p>
        </w:tc>
        <w:tc>
          <w:tcPr>
            <w:tcW w:w="964" w:type="pct"/>
            <w:vAlign w:val="center"/>
            <w:hideMark/>
          </w:tcPr>
          <w:p w14:paraId="71F6A93B"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ISH</w:t>
            </w:r>
          </w:p>
        </w:tc>
        <w:tc>
          <w:tcPr>
            <w:tcW w:w="3185" w:type="pct"/>
            <w:vAlign w:val="center"/>
            <w:hideMark/>
          </w:tcPr>
          <w:p w14:paraId="1EC72064"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Ibn Sina General Hospital</w:t>
            </w:r>
          </w:p>
        </w:tc>
      </w:tr>
      <w:tr w:rsidR="00DF2AA9" w:rsidRPr="008B59D5" w14:paraId="34C9F2EB" w14:textId="77777777" w:rsidTr="00DF2AA9">
        <w:trPr>
          <w:trHeight w:val="281"/>
        </w:trPr>
        <w:tc>
          <w:tcPr>
            <w:tcW w:w="851" w:type="pct"/>
            <w:vAlign w:val="center"/>
          </w:tcPr>
          <w:p w14:paraId="1EF84ED1"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10</w:t>
            </w:r>
          </w:p>
        </w:tc>
        <w:tc>
          <w:tcPr>
            <w:tcW w:w="964" w:type="pct"/>
            <w:vAlign w:val="center"/>
            <w:hideMark/>
          </w:tcPr>
          <w:p w14:paraId="36F47A1F"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r w:rsidRPr="008B59D5">
              <w:rPr>
                <w:rFonts w:eastAsia="Times New Roman" w:cs="Times New Roman"/>
                <w:kern w:val="0"/>
                <w:sz w:val="22"/>
                <w:szCs w:val="22"/>
                <w14:ligatures w14:val="none"/>
              </w:rPr>
              <w:t>KGH</w:t>
            </w:r>
          </w:p>
        </w:tc>
        <w:tc>
          <w:tcPr>
            <w:tcW w:w="3185" w:type="pct"/>
            <w:vAlign w:val="center"/>
            <w:hideMark/>
          </w:tcPr>
          <w:p w14:paraId="5BFDDB11" w14:textId="77777777" w:rsidR="00DF2AA9" w:rsidRPr="008B59D5" w:rsidRDefault="00DF2AA9" w:rsidP="00DF2AA9">
            <w:pPr>
              <w:spacing w:before="0" w:beforeAutospacing="0" w:after="0" w:afterAutospacing="0" w:line="240" w:lineRule="auto"/>
              <w:rPr>
                <w:rFonts w:eastAsia="Times New Roman" w:cs="Times New Roman"/>
                <w:kern w:val="0"/>
                <w:sz w:val="22"/>
                <w:szCs w:val="22"/>
                <w14:ligatures w14:val="none"/>
              </w:rPr>
            </w:pPr>
            <w:proofErr w:type="spellStart"/>
            <w:r w:rsidRPr="008B59D5">
              <w:rPr>
                <w:rFonts w:eastAsia="Times New Roman" w:cs="Times New Roman"/>
                <w:kern w:val="0"/>
                <w:sz w:val="22"/>
                <w:szCs w:val="22"/>
                <w14:ligatures w14:val="none"/>
              </w:rPr>
              <w:t>Khulais</w:t>
            </w:r>
            <w:proofErr w:type="spellEnd"/>
            <w:r w:rsidRPr="008B59D5">
              <w:rPr>
                <w:rFonts w:eastAsia="Times New Roman" w:cs="Times New Roman"/>
                <w:kern w:val="0"/>
                <w:sz w:val="22"/>
                <w:szCs w:val="22"/>
                <w14:ligatures w14:val="none"/>
              </w:rPr>
              <w:t xml:space="preserve"> General Hospital</w:t>
            </w:r>
          </w:p>
        </w:tc>
      </w:tr>
    </w:tbl>
    <w:p w14:paraId="4B366463" w14:textId="77777777" w:rsidR="00F47FDA" w:rsidRPr="00F47FDA" w:rsidRDefault="00F47FDA" w:rsidP="00DF2AA9">
      <w:pPr>
        <w:rPr>
          <w:rFonts w:cs="Times New Roman"/>
          <w:sz w:val="22"/>
          <w:szCs w:val="22"/>
        </w:rPr>
      </w:pPr>
    </w:p>
    <w:p w14:paraId="6357D503" w14:textId="2F1F1716" w:rsidR="00F47FDA" w:rsidRPr="00F47FDA" w:rsidRDefault="00F47FDA" w:rsidP="00F47FDA">
      <w:pPr>
        <w:tabs>
          <w:tab w:val="left" w:pos="2808"/>
        </w:tabs>
        <w:rPr>
          <w:rFonts w:cs="Times New Roman"/>
          <w:sz w:val="22"/>
          <w:szCs w:val="22"/>
        </w:rPr>
      </w:pPr>
      <w:r>
        <w:rPr>
          <w:rFonts w:cs="Times New Roman"/>
          <w:sz w:val="22"/>
          <w:szCs w:val="22"/>
        </w:rPr>
        <w:tab/>
      </w:r>
    </w:p>
    <w:p w14:paraId="1AD6A40A" w14:textId="77777777" w:rsidR="00F47FDA" w:rsidRDefault="00F47FDA" w:rsidP="00F47FDA">
      <w:pPr>
        <w:tabs>
          <w:tab w:val="left" w:pos="2808"/>
        </w:tabs>
        <w:rPr>
          <w:rFonts w:cs="Times New Roman"/>
          <w:sz w:val="22"/>
          <w:szCs w:val="22"/>
        </w:rPr>
      </w:pPr>
    </w:p>
    <w:p w14:paraId="61BC2A2E" w14:textId="77777777" w:rsidR="009D535B" w:rsidRDefault="009D535B" w:rsidP="008B59D5">
      <w:pPr>
        <w:spacing w:line="240" w:lineRule="auto"/>
        <w:rPr>
          <w:rFonts w:cs="Times New Roman"/>
          <w:sz w:val="22"/>
          <w:szCs w:val="22"/>
        </w:rPr>
      </w:pPr>
    </w:p>
    <w:p w14:paraId="69CDC7AA" w14:textId="65BEBF42" w:rsidR="00041BA6" w:rsidRPr="008B59D5" w:rsidRDefault="00041BA6" w:rsidP="008B59D5">
      <w:pPr>
        <w:spacing w:line="240" w:lineRule="auto"/>
        <w:rPr>
          <w:rFonts w:eastAsia="Times New Roman" w:cs="Times New Roman"/>
          <w:b/>
          <w:kern w:val="0"/>
          <w:sz w:val="22"/>
          <w:szCs w:val="22"/>
          <w14:ligatures w14:val="none"/>
        </w:rPr>
      </w:pPr>
      <w:r w:rsidRPr="008B59D5">
        <w:rPr>
          <w:rFonts w:eastAsia="Times New Roman" w:cs="Times New Roman"/>
          <w:b/>
          <w:kern w:val="0"/>
          <w:sz w:val="22"/>
          <w:szCs w:val="22"/>
          <w14:ligatures w14:val="none"/>
        </w:rPr>
        <w:t>APPENDIX-B</w:t>
      </w:r>
    </w:p>
    <w:tbl>
      <w:tblPr>
        <w:tblStyle w:val="TableGrid"/>
        <w:tblW w:w="5000" w:type="pct"/>
        <w:tblLook w:val="04A0" w:firstRow="1" w:lastRow="0" w:firstColumn="1" w:lastColumn="0" w:noHBand="0" w:noVBand="1"/>
      </w:tblPr>
      <w:tblGrid>
        <w:gridCol w:w="2555"/>
        <w:gridCol w:w="6461"/>
      </w:tblGrid>
      <w:tr w:rsidR="008B59D5" w:rsidRPr="008B59D5" w14:paraId="165037AF" w14:textId="77777777" w:rsidTr="009D535B">
        <w:trPr>
          <w:trHeight w:val="368"/>
        </w:trPr>
        <w:tc>
          <w:tcPr>
            <w:tcW w:w="1403" w:type="pct"/>
            <w:hideMark/>
          </w:tcPr>
          <w:p w14:paraId="1671A86A" w14:textId="77777777" w:rsidR="00041BA6" w:rsidRPr="008B59D5" w:rsidRDefault="00041BA6" w:rsidP="009D535B">
            <w:pPr>
              <w:spacing w:before="0" w:beforeAutospacing="0" w:after="0" w:afterAutospacing="0" w:line="240" w:lineRule="auto"/>
              <w:jc w:val="left"/>
              <w:rPr>
                <w:rFonts w:eastAsia="Times New Roman" w:cs="Times New Roman"/>
                <w:b/>
                <w:bCs/>
                <w:kern w:val="0"/>
                <w:sz w:val="22"/>
                <w:szCs w:val="22"/>
                <w14:ligatures w14:val="none"/>
              </w:rPr>
            </w:pPr>
            <w:r w:rsidRPr="008B59D5">
              <w:rPr>
                <w:rFonts w:eastAsia="Times New Roman" w:cs="Times New Roman"/>
                <w:b/>
                <w:bCs/>
                <w:kern w:val="0"/>
                <w:sz w:val="22"/>
                <w:szCs w:val="22"/>
                <w14:ligatures w14:val="none"/>
              </w:rPr>
              <w:t>Category</w:t>
            </w:r>
          </w:p>
        </w:tc>
        <w:tc>
          <w:tcPr>
            <w:tcW w:w="3548" w:type="pct"/>
            <w:hideMark/>
          </w:tcPr>
          <w:p w14:paraId="2156B450" w14:textId="77777777" w:rsidR="00041BA6" w:rsidRPr="008B59D5" w:rsidRDefault="00041BA6" w:rsidP="009D535B">
            <w:pPr>
              <w:spacing w:before="0" w:beforeAutospacing="0" w:after="0" w:afterAutospacing="0" w:line="240" w:lineRule="auto"/>
              <w:jc w:val="left"/>
              <w:rPr>
                <w:rFonts w:eastAsia="Times New Roman" w:cs="Times New Roman"/>
                <w:b/>
                <w:bCs/>
                <w:kern w:val="0"/>
                <w:sz w:val="22"/>
                <w:szCs w:val="22"/>
                <w14:ligatures w14:val="none"/>
              </w:rPr>
            </w:pPr>
            <w:r w:rsidRPr="008B59D5">
              <w:rPr>
                <w:rFonts w:eastAsia="Times New Roman" w:cs="Times New Roman"/>
                <w:b/>
                <w:bCs/>
                <w:kern w:val="0"/>
                <w:sz w:val="22"/>
                <w:szCs w:val="22"/>
                <w14:ligatures w14:val="none"/>
              </w:rPr>
              <w:t>Description</w:t>
            </w:r>
          </w:p>
        </w:tc>
      </w:tr>
      <w:tr w:rsidR="008B59D5" w:rsidRPr="008B59D5" w14:paraId="46566165" w14:textId="77777777" w:rsidTr="00041BA6">
        <w:tc>
          <w:tcPr>
            <w:tcW w:w="1403" w:type="pct"/>
            <w:hideMark/>
          </w:tcPr>
          <w:p w14:paraId="1E74E727"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Nursing care management</w:t>
            </w:r>
          </w:p>
        </w:tc>
        <w:tc>
          <w:tcPr>
            <w:tcW w:w="3548" w:type="pct"/>
            <w:hideMark/>
          </w:tcPr>
          <w:p w14:paraId="05D48DF3"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 xml:space="preserve">Patient disposition such as </w:t>
            </w:r>
            <w:proofErr w:type="gramStart"/>
            <w:r w:rsidRPr="008B59D5">
              <w:rPr>
                <w:rFonts w:eastAsia="Times New Roman" w:cs="Times New Roman"/>
                <w:kern w:val="0"/>
                <w:sz w:val="22"/>
                <w:szCs w:val="22"/>
                <w14:ligatures w14:val="none"/>
              </w:rPr>
              <w:t>delay</w:t>
            </w:r>
            <w:proofErr w:type="gramEnd"/>
            <w:r w:rsidRPr="008B59D5">
              <w:rPr>
                <w:rFonts w:eastAsia="Times New Roman" w:cs="Times New Roman"/>
                <w:kern w:val="0"/>
                <w:sz w:val="22"/>
                <w:szCs w:val="22"/>
                <w14:ligatures w14:val="none"/>
              </w:rPr>
              <w:t xml:space="preserve"> in admitting patient, delay in transferring patient, improper patient discharge, left against medical advice.</w:t>
            </w:r>
          </w:p>
        </w:tc>
      </w:tr>
      <w:tr w:rsidR="008B59D5" w:rsidRPr="008B59D5" w14:paraId="0B0B323E" w14:textId="77777777" w:rsidTr="00041BA6">
        <w:tc>
          <w:tcPr>
            <w:tcW w:w="1403" w:type="pct"/>
            <w:hideMark/>
          </w:tcPr>
          <w:p w14:paraId="7AE3296B"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Housekeeping</w:t>
            </w:r>
          </w:p>
        </w:tc>
        <w:tc>
          <w:tcPr>
            <w:tcW w:w="3548" w:type="pct"/>
            <w:hideMark/>
          </w:tcPr>
          <w:p w14:paraId="77B8E3E1"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Poor cleanliness of facilities or poor housekeeping response.</w:t>
            </w:r>
          </w:p>
        </w:tc>
      </w:tr>
      <w:tr w:rsidR="008B59D5" w:rsidRPr="008B59D5" w14:paraId="4618A11F" w14:textId="77777777" w:rsidTr="00041BA6">
        <w:tc>
          <w:tcPr>
            <w:tcW w:w="1403" w:type="pct"/>
            <w:hideMark/>
          </w:tcPr>
          <w:p w14:paraId="47931F9B"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Security-related issues</w:t>
            </w:r>
          </w:p>
        </w:tc>
        <w:tc>
          <w:tcPr>
            <w:tcW w:w="3548" w:type="pct"/>
            <w:hideMark/>
          </w:tcPr>
          <w:p w14:paraId="72306827"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Physical assault, verbal assault, missing property, or no security staff in the building.</w:t>
            </w:r>
          </w:p>
        </w:tc>
      </w:tr>
      <w:tr w:rsidR="008B59D5" w:rsidRPr="008B59D5" w14:paraId="23812160" w14:textId="77777777" w:rsidTr="00041BA6">
        <w:tc>
          <w:tcPr>
            <w:tcW w:w="1403" w:type="pct"/>
            <w:hideMark/>
          </w:tcPr>
          <w:p w14:paraId="39E9ECF7"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Laundry services</w:t>
            </w:r>
          </w:p>
        </w:tc>
        <w:tc>
          <w:tcPr>
            <w:tcW w:w="3548" w:type="pct"/>
            <w:hideMark/>
          </w:tcPr>
          <w:p w14:paraId="5E349D3D"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Lack of laundry service supplies or poor laundry service response.</w:t>
            </w:r>
          </w:p>
        </w:tc>
      </w:tr>
      <w:tr w:rsidR="008B59D5" w:rsidRPr="008B59D5" w14:paraId="2318A5FA" w14:textId="77777777" w:rsidTr="00041BA6">
        <w:tc>
          <w:tcPr>
            <w:tcW w:w="1403" w:type="pct"/>
            <w:hideMark/>
          </w:tcPr>
          <w:p w14:paraId="2BEA2F27"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Pressure ulcer</w:t>
            </w:r>
          </w:p>
        </w:tc>
        <w:tc>
          <w:tcPr>
            <w:tcW w:w="3548" w:type="pct"/>
            <w:hideMark/>
          </w:tcPr>
          <w:p w14:paraId="521FA563"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Localized damage to the skin and/or underlying soft tissues, usually over a bony prominence, related to a medical or other device.</w:t>
            </w:r>
          </w:p>
        </w:tc>
      </w:tr>
      <w:tr w:rsidR="008B59D5" w:rsidRPr="008B59D5" w14:paraId="58A4ED9D" w14:textId="77777777" w:rsidTr="00041BA6">
        <w:tc>
          <w:tcPr>
            <w:tcW w:w="1403" w:type="pct"/>
            <w:hideMark/>
          </w:tcPr>
          <w:p w14:paraId="03A42797"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Procedural</w:t>
            </w:r>
          </w:p>
        </w:tc>
        <w:tc>
          <w:tcPr>
            <w:tcW w:w="3548" w:type="pct"/>
            <w:hideMark/>
          </w:tcPr>
          <w:p w14:paraId="4B8F6F12"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Pre-procedural issues like cancellation of surgery; intra-procedural issues like incorrect medical records, incomplete procedure on surgery schedule.</w:t>
            </w:r>
          </w:p>
        </w:tc>
      </w:tr>
      <w:tr w:rsidR="008B59D5" w:rsidRPr="008B59D5" w14:paraId="7B7FE704" w14:textId="77777777" w:rsidTr="00041BA6">
        <w:tc>
          <w:tcPr>
            <w:tcW w:w="1403" w:type="pct"/>
            <w:hideMark/>
          </w:tcPr>
          <w:p w14:paraId="4A3C8557"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Skin lesion/integrity</w:t>
            </w:r>
          </w:p>
        </w:tc>
        <w:tc>
          <w:tcPr>
            <w:tcW w:w="3548" w:type="pct"/>
            <w:hideMark/>
          </w:tcPr>
          <w:p w14:paraId="0ED42443"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Abrasion, hematoma, redness, rash, skin tear, blister, or cellulitis.</w:t>
            </w:r>
          </w:p>
        </w:tc>
      </w:tr>
      <w:tr w:rsidR="008B59D5" w:rsidRPr="008B59D5" w14:paraId="7C3A2602" w14:textId="77777777" w:rsidTr="00041BA6">
        <w:tc>
          <w:tcPr>
            <w:tcW w:w="1403" w:type="pct"/>
            <w:hideMark/>
          </w:tcPr>
          <w:p w14:paraId="74CE8BFF"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Facility maintenance</w:t>
            </w:r>
          </w:p>
        </w:tc>
        <w:tc>
          <w:tcPr>
            <w:tcW w:w="3548" w:type="pct"/>
            <w:hideMark/>
          </w:tcPr>
          <w:p w14:paraId="32DDA61B"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Disruption of power supply, HVAC failure, generator failure, malfunction of automated doors, medical gas leaks, overflow of sewage, or water leaks.</w:t>
            </w:r>
          </w:p>
        </w:tc>
      </w:tr>
      <w:tr w:rsidR="008B59D5" w:rsidRPr="008B59D5" w14:paraId="3D3AE8F0" w14:textId="77777777" w:rsidTr="00041BA6">
        <w:tc>
          <w:tcPr>
            <w:tcW w:w="1403" w:type="pct"/>
            <w:hideMark/>
          </w:tcPr>
          <w:p w14:paraId="5DD11083"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Staff-related issues</w:t>
            </w:r>
          </w:p>
        </w:tc>
        <w:tc>
          <w:tcPr>
            <w:tcW w:w="3548" w:type="pct"/>
            <w:hideMark/>
          </w:tcPr>
          <w:p w14:paraId="3873601C"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Refusal to perform assigned tasks, non-performance of duty, unfair workload, ethical issues, or lack of professional development.</w:t>
            </w:r>
          </w:p>
        </w:tc>
      </w:tr>
      <w:tr w:rsidR="008B59D5" w:rsidRPr="008B59D5" w14:paraId="33F65759" w14:textId="77777777" w:rsidTr="00041BA6">
        <w:tc>
          <w:tcPr>
            <w:tcW w:w="1403" w:type="pct"/>
            <w:hideMark/>
          </w:tcPr>
          <w:p w14:paraId="18072611"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Occupational health</w:t>
            </w:r>
          </w:p>
        </w:tc>
        <w:tc>
          <w:tcPr>
            <w:tcW w:w="3548" w:type="pct"/>
            <w:hideMark/>
          </w:tcPr>
          <w:p w14:paraId="654C1CB6"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Contact with hazardous substances, sharps injury, accidents caused by internal/external projects, or slips, trips, and collisions.</w:t>
            </w:r>
          </w:p>
        </w:tc>
      </w:tr>
      <w:tr w:rsidR="008B59D5" w:rsidRPr="008B59D5" w14:paraId="5192BE34" w14:textId="77777777" w:rsidTr="00041BA6">
        <w:tc>
          <w:tcPr>
            <w:tcW w:w="1403" w:type="pct"/>
            <w:hideMark/>
          </w:tcPr>
          <w:p w14:paraId="0C81B406"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ID/Document/Consent</w:t>
            </w:r>
          </w:p>
        </w:tc>
        <w:tc>
          <w:tcPr>
            <w:tcW w:w="3548" w:type="pct"/>
            <w:hideMark/>
          </w:tcPr>
          <w:p w14:paraId="66E3F09E"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Illegible writing, wrong name, wrong patient, or wrong Medical Record Number (MRN).</w:t>
            </w:r>
          </w:p>
        </w:tc>
      </w:tr>
      <w:tr w:rsidR="008B59D5" w:rsidRPr="008B59D5" w14:paraId="23329AA7" w14:textId="77777777" w:rsidTr="00041BA6">
        <w:tc>
          <w:tcPr>
            <w:tcW w:w="1403" w:type="pct"/>
            <w:hideMark/>
          </w:tcPr>
          <w:p w14:paraId="0597C4CF"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Medication</w:t>
            </w:r>
          </w:p>
        </w:tc>
        <w:tc>
          <w:tcPr>
            <w:tcW w:w="3548" w:type="pct"/>
            <w:hideMark/>
          </w:tcPr>
          <w:p w14:paraId="2A65EC9A"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Adverse drug reaction, medication delivery delay, wrong dose, high alert label missing, wrong patient, wrong method of preparation, wrong storage, or unavailable medication.</w:t>
            </w:r>
          </w:p>
        </w:tc>
      </w:tr>
      <w:tr w:rsidR="008B59D5" w:rsidRPr="008B59D5" w14:paraId="5D434B91" w14:textId="77777777" w:rsidTr="00041BA6">
        <w:tc>
          <w:tcPr>
            <w:tcW w:w="1403" w:type="pct"/>
            <w:hideMark/>
          </w:tcPr>
          <w:p w14:paraId="6763AFD0"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proofErr w:type="spellStart"/>
            <w:r w:rsidRPr="008B59D5">
              <w:rPr>
                <w:rFonts w:eastAsia="Times New Roman" w:cs="Times New Roman"/>
                <w:b/>
                <w:bCs/>
                <w:kern w:val="0"/>
                <w:sz w:val="22"/>
                <w:szCs w:val="22"/>
                <w14:ligatures w14:val="none"/>
              </w:rPr>
              <w:t>Behaviour</w:t>
            </w:r>
            <w:proofErr w:type="spellEnd"/>
          </w:p>
        </w:tc>
        <w:tc>
          <w:tcPr>
            <w:tcW w:w="3548" w:type="pct"/>
            <w:hideMark/>
          </w:tcPr>
          <w:p w14:paraId="765CB2C6"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 xml:space="preserve">Uncooperative </w:t>
            </w:r>
            <w:proofErr w:type="spellStart"/>
            <w:r w:rsidRPr="008B59D5">
              <w:rPr>
                <w:rFonts w:eastAsia="Times New Roman" w:cs="Times New Roman"/>
                <w:kern w:val="0"/>
                <w:sz w:val="22"/>
                <w:szCs w:val="22"/>
                <w14:ligatures w14:val="none"/>
              </w:rPr>
              <w:t>behaviour</w:t>
            </w:r>
            <w:proofErr w:type="spellEnd"/>
            <w:r w:rsidRPr="008B59D5">
              <w:rPr>
                <w:rFonts w:eastAsia="Times New Roman" w:cs="Times New Roman"/>
                <w:kern w:val="0"/>
                <w:sz w:val="22"/>
                <w:szCs w:val="22"/>
                <w14:ligatures w14:val="none"/>
              </w:rPr>
              <w:t xml:space="preserve">, inappropriate </w:t>
            </w:r>
            <w:proofErr w:type="spellStart"/>
            <w:r w:rsidRPr="008B59D5">
              <w:rPr>
                <w:rFonts w:eastAsia="Times New Roman" w:cs="Times New Roman"/>
                <w:kern w:val="0"/>
                <w:sz w:val="22"/>
                <w:szCs w:val="22"/>
                <w14:ligatures w14:val="none"/>
              </w:rPr>
              <w:t>behaviour</w:t>
            </w:r>
            <w:proofErr w:type="spellEnd"/>
            <w:r w:rsidRPr="008B59D5">
              <w:rPr>
                <w:rFonts w:eastAsia="Times New Roman" w:cs="Times New Roman"/>
                <w:kern w:val="0"/>
                <w:sz w:val="22"/>
                <w:szCs w:val="22"/>
                <w14:ligatures w14:val="none"/>
              </w:rPr>
              <w:t xml:space="preserve">, aggressive </w:t>
            </w:r>
            <w:proofErr w:type="spellStart"/>
            <w:r w:rsidRPr="008B59D5">
              <w:rPr>
                <w:rFonts w:eastAsia="Times New Roman" w:cs="Times New Roman"/>
                <w:kern w:val="0"/>
                <w:sz w:val="22"/>
                <w:szCs w:val="22"/>
                <w14:ligatures w14:val="none"/>
              </w:rPr>
              <w:t>behaviour</w:t>
            </w:r>
            <w:proofErr w:type="spellEnd"/>
            <w:r w:rsidRPr="008B59D5">
              <w:rPr>
                <w:rFonts w:eastAsia="Times New Roman" w:cs="Times New Roman"/>
                <w:kern w:val="0"/>
                <w:sz w:val="22"/>
                <w:szCs w:val="22"/>
                <w14:ligatures w14:val="none"/>
              </w:rPr>
              <w:t>, or family interfering with patient care.</w:t>
            </w:r>
          </w:p>
        </w:tc>
      </w:tr>
      <w:tr w:rsidR="008B59D5" w:rsidRPr="008B59D5" w14:paraId="6553219A" w14:textId="77777777" w:rsidTr="00041BA6">
        <w:tc>
          <w:tcPr>
            <w:tcW w:w="1403" w:type="pct"/>
            <w:hideMark/>
          </w:tcPr>
          <w:p w14:paraId="79B6DA68"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Fall</w:t>
            </w:r>
          </w:p>
        </w:tc>
        <w:tc>
          <w:tcPr>
            <w:tcW w:w="3548" w:type="pct"/>
            <w:hideMark/>
          </w:tcPr>
          <w:p w14:paraId="76E5B4B9"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Incidents involving a patient nearly or fully falling.</w:t>
            </w:r>
          </w:p>
        </w:tc>
      </w:tr>
      <w:tr w:rsidR="008B59D5" w:rsidRPr="008B59D5" w14:paraId="1049CBE6" w14:textId="77777777" w:rsidTr="00041BA6">
        <w:tc>
          <w:tcPr>
            <w:tcW w:w="1403" w:type="pct"/>
            <w:hideMark/>
          </w:tcPr>
          <w:p w14:paraId="413D0FA6"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Medical equipment issues</w:t>
            </w:r>
          </w:p>
        </w:tc>
        <w:tc>
          <w:tcPr>
            <w:tcW w:w="3548" w:type="pct"/>
            <w:hideMark/>
          </w:tcPr>
          <w:p w14:paraId="5E8E3310"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Electrical items not tested, broken medical equipment, medical equipment misuse, medical device unexpected failure, or medical device violating safety standards.</w:t>
            </w:r>
          </w:p>
        </w:tc>
      </w:tr>
      <w:tr w:rsidR="008B59D5" w:rsidRPr="008B59D5" w14:paraId="41538321" w14:textId="77777777" w:rsidTr="00041BA6">
        <w:tc>
          <w:tcPr>
            <w:tcW w:w="1403" w:type="pct"/>
            <w:hideMark/>
          </w:tcPr>
          <w:p w14:paraId="7A1FFD49"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Infection control-related issues</w:t>
            </w:r>
          </w:p>
        </w:tc>
        <w:tc>
          <w:tcPr>
            <w:tcW w:w="3548" w:type="pct"/>
            <w:hideMark/>
          </w:tcPr>
          <w:p w14:paraId="3844C558"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Device product or fluid-associated infections, hand-hygiene process issues, improper infection control practices, improper waste collection, or sharp container unavailability.</w:t>
            </w:r>
          </w:p>
        </w:tc>
      </w:tr>
      <w:tr w:rsidR="008B59D5" w:rsidRPr="008B59D5" w14:paraId="282AF992" w14:textId="77777777" w:rsidTr="00041BA6">
        <w:tc>
          <w:tcPr>
            <w:tcW w:w="1403" w:type="pct"/>
            <w:hideMark/>
          </w:tcPr>
          <w:p w14:paraId="3BDA71BD"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Communication issues</w:t>
            </w:r>
          </w:p>
        </w:tc>
        <w:tc>
          <w:tcPr>
            <w:tcW w:w="3548" w:type="pct"/>
            <w:hideMark/>
          </w:tcPr>
          <w:p w14:paraId="464A36F4"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Inappropriate communication between staff and patients, poor communication among staff/teams/departments, poor call center response, or failure of the telephone system.</w:t>
            </w:r>
          </w:p>
        </w:tc>
      </w:tr>
      <w:tr w:rsidR="008B59D5" w:rsidRPr="008B59D5" w14:paraId="6EB325A6" w14:textId="77777777" w:rsidTr="00041BA6">
        <w:tc>
          <w:tcPr>
            <w:tcW w:w="1403" w:type="pct"/>
            <w:hideMark/>
          </w:tcPr>
          <w:p w14:paraId="13B52218"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Laboratory-related issues</w:t>
            </w:r>
          </w:p>
        </w:tc>
        <w:tc>
          <w:tcPr>
            <w:tcW w:w="3548" w:type="pct"/>
            <w:hideMark/>
          </w:tcPr>
          <w:p w14:paraId="26E9B435"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Delayed blood/blood product delivery, delayed feedback on rejected specimen, incomplete blood/blood product request, lost sample, wrong patient’s MRN, transfusion reaction, or delayed test result.</w:t>
            </w:r>
          </w:p>
        </w:tc>
      </w:tr>
      <w:tr w:rsidR="008B59D5" w:rsidRPr="008B59D5" w14:paraId="4DB06D85" w14:textId="77777777" w:rsidTr="00041BA6">
        <w:tc>
          <w:tcPr>
            <w:tcW w:w="1403" w:type="pct"/>
            <w:hideMark/>
          </w:tcPr>
          <w:p w14:paraId="69B84DAF"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Intravenous</w:t>
            </w:r>
          </w:p>
        </w:tc>
        <w:tc>
          <w:tcPr>
            <w:tcW w:w="3548" w:type="pct"/>
            <w:hideMark/>
          </w:tcPr>
          <w:p w14:paraId="5E89207E"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Extravasation, occlusion, infiltration, phlebitis, leaking, or wrong insertion.</w:t>
            </w:r>
          </w:p>
        </w:tc>
      </w:tr>
      <w:tr w:rsidR="008B59D5" w:rsidRPr="008B59D5" w14:paraId="14D78E21" w14:textId="77777777" w:rsidTr="00041BA6">
        <w:tc>
          <w:tcPr>
            <w:tcW w:w="1403" w:type="pct"/>
            <w:hideMark/>
          </w:tcPr>
          <w:p w14:paraId="046668CD"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Supply chain issues</w:t>
            </w:r>
          </w:p>
        </w:tc>
        <w:tc>
          <w:tcPr>
            <w:tcW w:w="3548" w:type="pct"/>
            <w:hideMark/>
          </w:tcPr>
          <w:p w14:paraId="67CF4002"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Unavailability of medical items in store, unavailability of non-stock items, lack of stationery supply, damaged items on delivery, or medication out of stock.</w:t>
            </w:r>
          </w:p>
        </w:tc>
      </w:tr>
      <w:tr w:rsidR="00041BA6" w:rsidRPr="008B59D5" w14:paraId="296BEF7F" w14:textId="77777777" w:rsidTr="00041BA6">
        <w:tc>
          <w:tcPr>
            <w:tcW w:w="1403" w:type="pct"/>
            <w:hideMark/>
          </w:tcPr>
          <w:p w14:paraId="2C745611"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b/>
                <w:bCs/>
                <w:kern w:val="0"/>
                <w:sz w:val="22"/>
                <w:szCs w:val="22"/>
                <w14:ligatures w14:val="none"/>
              </w:rPr>
              <w:t>IT-related issues</w:t>
            </w:r>
          </w:p>
        </w:tc>
        <w:tc>
          <w:tcPr>
            <w:tcW w:w="3548" w:type="pct"/>
            <w:hideMark/>
          </w:tcPr>
          <w:p w14:paraId="061687FF" w14:textId="77777777" w:rsidR="00041BA6" w:rsidRPr="008B59D5" w:rsidRDefault="00041BA6" w:rsidP="009D535B">
            <w:pPr>
              <w:spacing w:before="0" w:beforeAutospacing="0" w:after="0" w:afterAutospacing="0" w:line="240" w:lineRule="auto"/>
              <w:jc w:val="left"/>
              <w:rPr>
                <w:rFonts w:eastAsia="Times New Roman" w:cs="Times New Roman"/>
                <w:kern w:val="0"/>
                <w:sz w:val="22"/>
                <w:szCs w:val="22"/>
                <w14:ligatures w14:val="none"/>
              </w:rPr>
            </w:pPr>
            <w:r w:rsidRPr="008B59D5">
              <w:rPr>
                <w:rFonts w:eastAsia="Times New Roman" w:cs="Times New Roman"/>
                <w:kern w:val="0"/>
                <w:sz w:val="22"/>
                <w:szCs w:val="22"/>
                <w14:ligatures w14:val="none"/>
              </w:rPr>
              <w:t>Abuse of system authorities, disruption of IT services, information leakage due to software errors, spreading of viruses, lack of IT supplies, or poor IT response.</w:t>
            </w:r>
          </w:p>
        </w:tc>
      </w:tr>
    </w:tbl>
    <w:p w14:paraId="0CBE94B1" w14:textId="6BD73C92" w:rsidR="00A46E19" w:rsidRPr="008B59D5" w:rsidRDefault="00A46E19" w:rsidP="008B59D5">
      <w:pPr>
        <w:spacing w:before="0" w:beforeAutospacing="0" w:after="160" w:afterAutospacing="0" w:line="240" w:lineRule="auto"/>
        <w:rPr>
          <w:rFonts w:cs="Times New Roman"/>
          <w:sz w:val="22"/>
          <w:szCs w:val="22"/>
        </w:rPr>
      </w:pPr>
    </w:p>
    <w:sectPr w:rsidR="00A46E19" w:rsidRPr="008B59D5" w:rsidSect="00ED3260">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pgNumType w:start="40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2D4F" w14:textId="77777777" w:rsidR="001B2666" w:rsidRDefault="001B2666" w:rsidP="003A0445">
      <w:pPr>
        <w:spacing w:before="0" w:after="0" w:line="240" w:lineRule="auto"/>
      </w:pPr>
      <w:r>
        <w:separator/>
      </w:r>
    </w:p>
  </w:endnote>
  <w:endnote w:type="continuationSeparator" w:id="0">
    <w:p w14:paraId="1B6903FA" w14:textId="77777777" w:rsidR="001B2666" w:rsidRDefault="001B2666" w:rsidP="003A04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8399266"/>
      <w:docPartObj>
        <w:docPartGallery w:val="Page Numbers (Bottom of Page)"/>
        <w:docPartUnique/>
      </w:docPartObj>
    </w:sdtPr>
    <w:sdtContent>
      <w:p w14:paraId="1B5D9582" w14:textId="63E7AF70" w:rsidR="00B136CF" w:rsidRDefault="00B136CF" w:rsidP="00B136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3054C">
          <w:rPr>
            <w:rStyle w:val="PageNumber"/>
            <w:noProof/>
          </w:rPr>
          <w:t>1</w:t>
        </w:r>
        <w:r>
          <w:rPr>
            <w:rStyle w:val="PageNumber"/>
          </w:rPr>
          <w:fldChar w:fldCharType="end"/>
        </w:r>
      </w:p>
    </w:sdtContent>
  </w:sdt>
  <w:p w14:paraId="703D4D87" w14:textId="77777777" w:rsidR="00B136CF" w:rsidRDefault="00B13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0673" w14:textId="6EFEF1D2" w:rsidR="00B136CF" w:rsidRDefault="00B136CF" w:rsidP="008B59D5">
    <w:pPr>
      <w:pStyle w:val="Footer"/>
      <w:spacing w:before="0" w:beforeAutospacing="0" w:after="0" w:afterAutospacing="0"/>
    </w:pPr>
  </w:p>
  <w:sdt>
    <w:sdtPr>
      <w:rPr>
        <w:rFonts w:eastAsia="Times New Roman" w:cs="Times New Roman"/>
      </w:rPr>
      <w:id w:val="1588270211"/>
      <w:docPartObj>
        <w:docPartGallery w:val="Page Numbers (Bottom of Page)"/>
        <w:docPartUnique/>
      </w:docPartObj>
    </w:sdtPr>
    <w:sdtEndPr>
      <w:rPr>
        <w:noProof/>
      </w:rPr>
    </w:sdtEndPr>
    <w:sdtContent>
      <w:p w14:paraId="2F5E342F" w14:textId="368DABD4" w:rsidR="00B136CF" w:rsidRPr="00F47FDA" w:rsidRDefault="008B59D5" w:rsidP="007501CB">
        <w:pPr>
          <w:spacing w:before="0" w:beforeAutospacing="0" w:after="0" w:afterAutospacing="0" w:line="240" w:lineRule="auto"/>
          <w:jc w:val="left"/>
          <w:rPr>
            <w:rFonts w:eastAsia="Times New Roman" w:cs="Times New Roman"/>
            <w:sz w:val="14"/>
          </w:rPr>
        </w:pPr>
        <w:r w:rsidRPr="00F47FDA">
          <w:rPr>
            <w:rFonts w:eastAsia="Times New Roman" w:cs="Times New Roman"/>
          </w:rPr>
          <w:t xml:space="preserve"> </w:t>
        </w:r>
        <w:hyperlink r:id="rId1" w:history="1">
          <w:r w:rsidR="00F47FDA" w:rsidRPr="00F47FDA">
            <w:rPr>
              <w:rStyle w:val="Hyperlink"/>
              <w:rFonts w:eastAsia="Times New Roman" w:cs="Times New Roman"/>
              <w:color w:val="auto"/>
              <w:spacing w:val="-2"/>
              <w:sz w:val="14"/>
              <w:u w:val="none"/>
            </w:rPr>
            <w:t>WWW.DIABETICSTUDIES.ORG</w:t>
          </w:r>
        </w:hyperlink>
        <w:r w:rsidRPr="00F47FDA">
          <w:rPr>
            <w:rFonts w:eastAsia="Times New Roman" w:cs="Times New Roman"/>
          </w:rPr>
          <w:t xml:space="preserve">                                              </w:t>
        </w:r>
        <w:r w:rsidR="00F47FDA">
          <w:rPr>
            <w:rFonts w:eastAsia="Times New Roman" w:cs="Times New Roman"/>
          </w:rPr>
          <w:t xml:space="preserve"> </w:t>
        </w:r>
        <w:r w:rsidRPr="00F47FDA">
          <w:rPr>
            <w:rFonts w:eastAsia="Times New Roman" w:cs="Times New Roman"/>
          </w:rPr>
          <w:t xml:space="preserve">                                                             </w:t>
        </w:r>
        <w:r w:rsidRPr="00F47FDA">
          <w:rPr>
            <w:rFonts w:eastAsia="Times New Roman" w:cs="Times New Roman"/>
            <w:szCs w:val="18"/>
          </w:rPr>
          <w:t xml:space="preserve"> </w:t>
        </w:r>
        <w:r w:rsidRPr="00F47FDA">
          <w:rPr>
            <w:rFonts w:eastAsia="Times New Roman" w:cs="Times New Roman"/>
            <w:szCs w:val="18"/>
          </w:rPr>
          <w:fldChar w:fldCharType="begin"/>
        </w:r>
        <w:r w:rsidRPr="00F47FDA">
          <w:rPr>
            <w:rFonts w:eastAsia="Times New Roman" w:cs="Times New Roman"/>
            <w:szCs w:val="18"/>
          </w:rPr>
          <w:instrText xml:space="preserve"> PAGE   \* MERGEFORMAT </w:instrText>
        </w:r>
        <w:r w:rsidRPr="00F47FDA">
          <w:rPr>
            <w:rFonts w:eastAsia="Times New Roman" w:cs="Times New Roman"/>
            <w:szCs w:val="18"/>
          </w:rPr>
          <w:fldChar w:fldCharType="separate"/>
        </w:r>
        <w:r w:rsidRPr="00F47FDA">
          <w:rPr>
            <w:rFonts w:eastAsia="Times New Roman" w:cs="Times New Roman"/>
            <w:szCs w:val="18"/>
          </w:rPr>
          <w:t>1</w:t>
        </w:r>
        <w:r w:rsidRPr="00F47FDA">
          <w:rPr>
            <w:rFonts w:eastAsia="Times New Roman" w:cs="Times New Roman"/>
            <w:noProof/>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2" w:name="_Hlk211633665" w:displacedByCustomXml="next"/>
  <w:bookmarkStart w:id="13" w:name="_Hlk211633664" w:displacedByCustomXml="next"/>
  <w:bookmarkStart w:id="14" w:name="_Hlk211632511" w:displacedByCustomXml="next"/>
  <w:bookmarkStart w:id="15" w:name="_Hlk211632510" w:displacedByCustomXml="next"/>
  <w:bookmarkStart w:id="16" w:name="_Hlk210826107" w:displacedByCustomXml="next"/>
  <w:bookmarkStart w:id="17" w:name="_Hlk210826106" w:displacedByCustomXml="next"/>
  <w:bookmarkStart w:id="18" w:name="_Hlk210825813" w:displacedByCustomXml="next"/>
  <w:bookmarkStart w:id="19" w:name="_Hlk210825812" w:displacedByCustomXml="next"/>
  <w:bookmarkStart w:id="20" w:name="_Hlk210825416" w:displacedByCustomXml="next"/>
  <w:bookmarkStart w:id="21" w:name="_Hlk210825415" w:displacedByCustomXml="next"/>
  <w:bookmarkStart w:id="22" w:name="_Hlk210825128" w:displacedByCustomXml="next"/>
  <w:bookmarkStart w:id="23" w:name="_Hlk210825127" w:displacedByCustomXml="next"/>
  <w:bookmarkStart w:id="24" w:name="_Hlk210824835" w:displacedByCustomXml="next"/>
  <w:bookmarkStart w:id="25" w:name="_Hlk210824834" w:displacedByCustomXml="next"/>
  <w:bookmarkStart w:id="26" w:name="_Hlk210824214" w:displacedByCustomXml="next"/>
  <w:bookmarkStart w:id="27" w:name="_Hlk210824213" w:displacedByCustomXml="next"/>
  <w:bookmarkStart w:id="28" w:name="_Hlk210823755" w:displacedByCustomXml="next"/>
  <w:bookmarkStart w:id="29" w:name="_Hlk210823754" w:displacedByCustomXml="next"/>
  <w:bookmarkStart w:id="30" w:name="_Hlk210823487" w:displacedByCustomXml="next"/>
  <w:bookmarkStart w:id="31" w:name="_Hlk210823486" w:displacedByCustomXml="next"/>
  <w:bookmarkStart w:id="32" w:name="_Hlk210823188" w:displacedByCustomXml="next"/>
  <w:bookmarkStart w:id="33" w:name="_Hlk210823187" w:displacedByCustomXml="next"/>
  <w:bookmarkStart w:id="34" w:name="_Hlk210822787" w:displacedByCustomXml="next"/>
  <w:bookmarkStart w:id="35" w:name="_Hlk210822786" w:displacedByCustomXml="next"/>
  <w:bookmarkStart w:id="36" w:name="_Hlk210822435" w:displacedByCustomXml="next"/>
  <w:bookmarkStart w:id="37" w:name="_Hlk210822434" w:displacedByCustomXml="next"/>
  <w:bookmarkStart w:id="38" w:name="_Hlk210821734" w:displacedByCustomXml="next"/>
  <w:bookmarkStart w:id="39" w:name="_Hlk210821733" w:displacedByCustomXml="next"/>
  <w:bookmarkStart w:id="40" w:name="_Hlk210821350" w:displacedByCustomXml="next"/>
  <w:bookmarkStart w:id="41" w:name="_Hlk210821349" w:displacedByCustomXml="next"/>
  <w:bookmarkStart w:id="42" w:name="_Hlk210821066" w:displacedByCustomXml="next"/>
  <w:bookmarkStart w:id="43" w:name="_Hlk210821065" w:displacedByCustomXml="next"/>
  <w:bookmarkStart w:id="44" w:name="_Hlk210820759" w:displacedByCustomXml="next"/>
  <w:bookmarkStart w:id="45" w:name="_Hlk210820758" w:displacedByCustomXml="next"/>
  <w:bookmarkStart w:id="46" w:name="_Hlk210820446" w:displacedByCustomXml="next"/>
  <w:bookmarkStart w:id="47" w:name="_Hlk210820445" w:displacedByCustomXml="next"/>
  <w:bookmarkStart w:id="48" w:name="_Hlk210819983" w:displacedByCustomXml="next"/>
  <w:bookmarkStart w:id="49" w:name="_Hlk210819982" w:displacedByCustomXml="next"/>
  <w:bookmarkStart w:id="50" w:name="_Hlk210819688" w:displacedByCustomXml="next"/>
  <w:bookmarkStart w:id="51" w:name="_Hlk210819687" w:displacedByCustomXml="next"/>
  <w:bookmarkStart w:id="52" w:name="_Hlk210302131" w:displacedByCustomXml="next"/>
  <w:bookmarkStart w:id="53" w:name="_Hlk210302130" w:displacedByCustomXml="next"/>
  <w:bookmarkStart w:id="54" w:name="_Hlk210301283" w:displacedByCustomXml="next"/>
  <w:bookmarkStart w:id="55" w:name="_Hlk210301282" w:displacedByCustomXml="next"/>
  <w:bookmarkStart w:id="56" w:name="_Hlk210300727" w:displacedByCustomXml="next"/>
  <w:bookmarkStart w:id="57" w:name="_Hlk210300726" w:displacedByCustomXml="next"/>
  <w:bookmarkStart w:id="58" w:name="_Hlk209945455" w:displacedByCustomXml="next"/>
  <w:bookmarkStart w:id="59" w:name="_Hlk209945454" w:displacedByCustomXml="next"/>
  <w:bookmarkStart w:id="60" w:name="_Hlk209945129" w:displacedByCustomXml="next"/>
  <w:bookmarkStart w:id="61" w:name="_Hlk209945128" w:displacedByCustomXml="next"/>
  <w:bookmarkStart w:id="62" w:name="_Hlk209945001" w:displacedByCustomXml="next"/>
  <w:bookmarkStart w:id="63" w:name="_Hlk209945000" w:displacedByCustomXml="next"/>
  <w:bookmarkStart w:id="64" w:name="_Hlk209944417" w:displacedByCustomXml="next"/>
  <w:bookmarkStart w:id="65" w:name="_Hlk209944416" w:displacedByCustomXml="next"/>
  <w:bookmarkStart w:id="66" w:name="_Hlk209944133" w:displacedByCustomXml="next"/>
  <w:bookmarkStart w:id="67" w:name="_Hlk209944132" w:displacedByCustomXml="next"/>
  <w:sdt>
    <w:sdtPr>
      <w:rPr>
        <w:rFonts w:eastAsia="Times New Roman" w:cs="Times New Roman"/>
      </w:rPr>
      <w:id w:val="861322842"/>
      <w:docPartObj>
        <w:docPartGallery w:val="Page Numbers (Bottom of Page)"/>
        <w:docPartUnique/>
      </w:docPartObj>
    </w:sdtPr>
    <w:sdtEndPr>
      <w:rPr>
        <w:noProof/>
      </w:rPr>
    </w:sdtEndPr>
    <w:sdtContent>
      <w:p w14:paraId="1576523F" w14:textId="77777777" w:rsidR="00F47FDA" w:rsidRDefault="00F47FDA" w:rsidP="00F47FDA">
        <w:pPr>
          <w:spacing w:before="0" w:beforeAutospacing="0" w:after="0" w:afterAutospacing="0" w:line="240" w:lineRule="auto"/>
          <w:jc w:val="left"/>
          <w:rPr>
            <w:rFonts w:eastAsia="Times New Roman" w:cs="Times New Roman"/>
          </w:rPr>
        </w:pPr>
      </w:p>
      <w:p w14:paraId="6ED61719" w14:textId="216D5F56" w:rsidR="008B59D5" w:rsidRPr="00F47FDA" w:rsidRDefault="00F47FDA" w:rsidP="007501CB">
        <w:pPr>
          <w:spacing w:before="0" w:beforeAutospacing="0" w:after="0" w:afterAutospacing="0" w:line="240" w:lineRule="auto"/>
          <w:jc w:val="left"/>
          <w:rPr>
            <w:rFonts w:eastAsia="Times New Roman" w:cs="Times New Roman"/>
            <w:sz w:val="14"/>
          </w:rPr>
        </w:pPr>
        <w:hyperlink r:id="rId1" w:history="1">
          <w:r w:rsidRPr="00F47FDA">
            <w:rPr>
              <w:rStyle w:val="Hyperlink"/>
              <w:rFonts w:eastAsia="Times New Roman" w:cs="Times New Roman"/>
              <w:color w:val="auto"/>
              <w:spacing w:val="-2"/>
              <w:sz w:val="14"/>
              <w:u w:val="none"/>
            </w:rPr>
            <w:t>WWW.DIABETICSTUDIES.ORG</w:t>
          </w:r>
        </w:hyperlink>
        <w:r w:rsidR="008B59D5" w:rsidRPr="00F47FDA">
          <w:rPr>
            <w:rFonts w:eastAsia="Times New Roman" w:cs="Times New Roman"/>
          </w:rPr>
          <w:t xml:space="preserve">                                                                                                              </w:t>
        </w:r>
        <w:r w:rsidR="008B59D5" w:rsidRPr="00F47FDA">
          <w:rPr>
            <w:rFonts w:eastAsia="Times New Roman" w:cs="Times New Roman"/>
            <w:szCs w:val="18"/>
          </w:rPr>
          <w:t xml:space="preserve"> </w:t>
        </w:r>
        <w:r w:rsidR="008B59D5" w:rsidRPr="00F47FDA">
          <w:rPr>
            <w:rFonts w:eastAsia="Times New Roman" w:cs="Times New Roman"/>
            <w:szCs w:val="18"/>
          </w:rPr>
          <w:fldChar w:fldCharType="begin"/>
        </w:r>
        <w:r w:rsidR="008B59D5" w:rsidRPr="00F47FDA">
          <w:rPr>
            <w:rFonts w:eastAsia="Times New Roman" w:cs="Times New Roman"/>
            <w:szCs w:val="18"/>
          </w:rPr>
          <w:instrText xml:space="preserve"> PAGE   \* MERGEFORMAT </w:instrText>
        </w:r>
        <w:r w:rsidR="008B59D5" w:rsidRPr="00F47FDA">
          <w:rPr>
            <w:rFonts w:eastAsia="Times New Roman" w:cs="Times New Roman"/>
            <w:szCs w:val="18"/>
          </w:rPr>
          <w:fldChar w:fldCharType="separate"/>
        </w:r>
        <w:r w:rsidR="008B59D5" w:rsidRPr="00F47FDA">
          <w:rPr>
            <w:rFonts w:eastAsia="Times New Roman" w:cs="Times New Roman"/>
            <w:szCs w:val="18"/>
          </w:rPr>
          <w:t>154</w:t>
        </w:r>
        <w:r w:rsidR="008B59D5" w:rsidRPr="00F47FDA">
          <w:rPr>
            <w:rFonts w:eastAsia="Times New Roman" w:cs="Times New Roman"/>
            <w:noProof/>
            <w:szCs w:val="18"/>
          </w:rPr>
          <w:fldChar w:fldCharType="end"/>
        </w:r>
      </w:p>
    </w:sdtContent>
  </w:sdt>
  <w:bookmarkEnd w:id="12" w:displacedByCustomXml="prev"/>
  <w:bookmarkEnd w:id="13" w:displacedByCustomXml="prev"/>
  <w:bookmarkEnd w:id="14" w:displacedByCustomXml="prev"/>
  <w:bookmarkEnd w:id="15" w:displacedByCustomXml="prev"/>
  <w:bookmarkEnd w:id="16" w:displacedByCustomXml="prev"/>
  <w:bookmarkEnd w:id="17" w:displacedByCustomXml="prev"/>
  <w:bookmarkEnd w:id="18" w:displacedByCustomXml="prev"/>
  <w:bookmarkEnd w:id="19" w:displacedByCustomXml="prev"/>
  <w:bookmarkEnd w:id="20" w:displacedByCustomXml="prev"/>
  <w:bookmarkEnd w:id="21" w:displacedByCustomXml="prev"/>
  <w:bookmarkEnd w:id="22" w:displacedByCustomXml="prev"/>
  <w:bookmarkEnd w:id="23" w:displacedByCustomXml="prev"/>
  <w:bookmarkEnd w:id="24" w:displacedByCustomXml="prev"/>
  <w:bookmarkEnd w:id="25" w:displacedByCustomXml="prev"/>
  <w:bookmarkEnd w:id="26" w:displacedByCustomXml="prev"/>
  <w:bookmarkEnd w:id="27" w:displacedByCustomXml="prev"/>
  <w:bookmarkEnd w:id="28" w:displacedByCustomXml="prev"/>
  <w:bookmarkEnd w:id="29" w:displacedByCustomXml="prev"/>
  <w:bookmarkEnd w:id="30" w:displacedByCustomXml="prev"/>
  <w:bookmarkEnd w:id="31" w:displacedByCustomXml="prev"/>
  <w:bookmarkEnd w:id="32" w:displacedByCustomXml="prev"/>
  <w:bookmarkEnd w:id="33" w:displacedByCustomXml="prev"/>
  <w:bookmarkEnd w:id="34" w:displacedByCustomXml="prev"/>
  <w:bookmarkEnd w:id="35" w:displacedByCustomXml="prev"/>
  <w:bookmarkEnd w:id="36" w:displacedByCustomXml="prev"/>
  <w:bookmarkEnd w:id="37" w:displacedByCustomXml="prev"/>
  <w:bookmarkEnd w:id="38" w:displacedByCustomXml="prev"/>
  <w:bookmarkEnd w:id="39" w:displacedByCustomXml="prev"/>
  <w:bookmarkEnd w:id="40" w:displacedByCustomXml="prev"/>
  <w:bookmarkEnd w:id="41" w:displacedByCustomXml="prev"/>
  <w:bookmarkEnd w:id="42" w:displacedByCustomXml="prev"/>
  <w:bookmarkEnd w:id="43" w:displacedByCustomXml="prev"/>
  <w:bookmarkEnd w:id="44" w:displacedByCustomXml="prev"/>
  <w:bookmarkEnd w:id="45" w:displacedByCustomXml="prev"/>
  <w:bookmarkEnd w:id="46" w:displacedByCustomXml="prev"/>
  <w:bookmarkEnd w:id="47" w:displacedByCustomXml="prev"/>
  <w:bookmarkEnd w:id="48" w:displacedByCustomXml="prev"/>
  <w:bookmarkEnd w:id="49" w:displacedByCustomXml="prev"/>
  <w:bookmarkEnd w:id="50" w:displacedByCustomXml="prev"/>
  <w:bookmarkEnd w:id="51" w:displacedByCustomXml="prev"/>
  <w:bookmarkEnd w:id="52" w:displacedByCustomXml="prev"/>
  <w:bookmarkEnd w:id="53" w:displacedByCustomXml="prev"/>
  <w:bookmarkEnd w:id="54" w:displacedByCustomXml="prev"/>
  <w:bookmarkEnd w:id="55" w:displacedByCustomXml="prev"/>
  <w:bookmarkEnd w:id="56" w:displacedByCustomXml="prev"/>
  <w:bookmarkEnd w:id="57" w:displacedByCustomXml="prev"/>
  <w:bookmarkEnd w:id="58" w:displacedByCustomXml="prev"/>
  <w:bookmarkEnd w:id="59" w:displacedByCustomXml="prev"/>
  <w:bookmarkEnd w:id="60" w:displacedByCustomXml="prev"/>
  <w:bookmarkEnd w:id="61" w:displacedByCustomXml="prev"/>
  <w:bookmarkEnd w:id="62" w:displacedByCustomXml="prev"/>
  <w:bookmarkEnd w:id="63" w:displacedByCustomXml="prev"/>
  <w:bookmarkEnd w:id="64" w:displacedByCustomXml="prev"/>
  <w:bookmarkEnd w:id="65" w:displacedByCustomXml="prev"/>
  <w:bookmarkEnd w:id="66" w:displacedByCustomXml="prev"/>
  <w:bookmarkEnd w:id="67"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9AFA" w14:textId="77777777" w:rsidR="001B2666" w:rsidRDefault="001B2666" w:rsidP="003A0445">
      <w:pPr>
        <w:spacing w:before="0" w:after="0" w:line="240" w:lineRule="auto"/>
      </w:pPr>
      <w:r>
        <w:separator/>
      </w:r>
    </w:p>
  </w:footnote>
  <w:footnote w:type="continuationSeparator" w:id="0">
    <w:p w14:paraId="3761A2BF" w14:textId="77777777" w:rsidR="001B2666" w:rsidRDefault="001B2666" w:rsidP="003A04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9565543"/>
      <w:docPartObj>
        <w:docPartGallery w:val="Page Numbers (Top of Page)"/>
        <w:docPartUnique/>
      </w:docPartObj>
    </w:sdtPr>
    <w:sdtContent>
      <w:p w14:paraId="1E912378" w14:textId="7D1E62FD" w:rsidR="00B136CF" w:rsidRDefault="00B136CF" w:rsidP="00B136C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7FDA">
          <w:rPr>
            <w:rStyle w:val="PageNumber"/>
            <w:noProof/>
          </w:rPr>
          <w:t>10</w:t>
        </w:r>
        <w:r>
          <w:rPr>
            <w:rStyle w:val="PageNumber"/>
          </w:rPr>
          <w:fldChar w:fldCharType="end"/>
        </w:r>
      </w:p>
    </w:sdtContent>
  </w:sdt>
  <w:p w14:paraId="410A7C66" w14:textId="77777777" w:rsidR="00B136CF" w:rsidRDefault="00B136CF" w:rsidP="00B136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6C64" w14:textId="77777777" w:rsidR="008B59D5" w:rsidRPr="00B50FD0" w:rsidRDefault="008B59D5" w:rsidP="008B59D5">
    <w:pPr>
      <w:tabs>
        <w:tab w:val="center" w:pos="4680"/>
        <w:tab w:val="right" w:pos="9360"/>
      </w:tabs>
      <w:spacing w:before="0" w:beforeAutospacing="0" w:after="0" w:afterAutospacing="0" w:line="240" w:lineRule="auto"/>
      <w:jc w:val="center"/>
      <w:rPr>
        <w:rFonts w:eastAsia="Times New Roman" w:cs="Times New Roman"/>
        <w:sz w:val="16"/>
        <w:szCs w:val="16"/>
      </w:rPr>
    </w:pPr>
    <w:bookmarkStart w:id="1" w:name="_Hlk209945169"/>
    <w:bookmarkStart w:id="2" w:name="_Hlk209131509"/>
    <w:bookmarkStart w:id="3" w:name="_Hlk209944187"/>
    <w:bookmarkStart w:id="4" w:name="_Hlk209944866"/>
    <w:bookmarkStart w:id="5" w:name="_Hlk209944867"/>
    <w:bookmarkStart w:id="6" w:name="_Hlk210822442"/>
    <w:bookmarkStart w:id="7" w:name="_Hlk210822443"/>
    <w:r w:rsidRPr="00B50FD0">
      <w:rPr>
        <w:rFonts w:eastAsia="Times New Roman" w:cs="Times New Roman"/>
        <w:sz w:val="16"/>
        <w:szCs w:val="16"/>
      </w:rPr>
      <w:t>The Review of DIABETIC STUDIES</w:t>
    </w:r>
  </w:p>
  <w:p w14:paraId="73BF3E6C" w14:textId="716BD749" w:rsidR="00B136CF" w:rsidRPr="008B59D5" w:rsidRDefault="008B59D5" w:rsidP="008B59D5">
    <w:pPr>
      <w:tabs>
        <w:tab w:val="center" w:pos="4680"/>
        <w:tab w:val="right" w:pos="9360"/>
      </w:tabs>
      <w:spacing w:before="0" w:beforeAutospacing="0" w:after="0" w:afterAutospacing="0" w:line="240" w:lineRule="auto"/>
      <w:jc w:val="center"/>
      <w:rPr>
        <w:rFonts w:eastAsia="Times New Roman" w:cs="Times New Roman"/>
        <w:sz w:val="16"/>
        <w:szCs w:val="16"/>
      </w:rPr>
    </w:pPr>
    <w:bookmarkStart w:id="8" w:name="_Hlk209945177"/>
    <w:bookmarkEnd w:id="1"/>
    <w:r w:rsidRPr="00B50FD0">
      <w:rPr>
        <w:rFonts w:eastAsia="Times New Roman" w:cs="Times New Roman"/>
        <w:sz w:val="16"/>
        <w:szCs w:val="16"/>
      </w:rPr>
      <w:t>Vol. 21 No. S</w:t>
    </w:r>
    <w:r w:rsidR="00F47FDA">
      <w:rPr>
        <w:rFonts w:eastAsia="Times New Roman" w:cs="Times New Roman"/>
        <w:sz w:val="16"/>
        <w:szCs w:val="16"/>
      </w:rPr>
      <w:t>10</w:t>
    </w:r>
    <w:r w:rsidRPr="00B50FD0">
      <w:rPr>
        <w:rFonts w:eastAsia="Times New Roman" w:cs="Times New Roman"/>
        <w:sz w:val="16"/>
        <w:szCs w:val="16"/>
      </w:rPr>
      <w:t xml:space="preserve"> 2025</w:t>
    </w:r>
    <w:bookmarkEnd w:id="2"/>
    <w:bookmarkEnd w:id="3"/>
    <w:bookmarkEnd w:id="4"/>
    <w:bookmarkEnd w:id="5"/>
    <w:bookmarkEnd w:id="6"/>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F078" w14:textId="77777777" w:rsidR="008B59D5" w:rsidRPr="008E3B60" w:rsidRDefault="008B59D5" w:rsidP="008B59D5">
    <w:pPr>
      <w:tabs>
        <w:tab w:val="center" w:pos="4680"/>
        <w:tab w:val="right" w:pos="9360"/>
      </w:tabs>
      <w:spacing w:before="0" w:beforeAutospacing="0" w:after="0" w:afterAutospacing="0" w:line="240" w:lineRule="auto"/>
      <w:jc w:val="left"/>
      <w:rPr>
        <w:rFonts w:ascii="Georgia" w:eastAsia="Times New Roman" w:hAnsi="Georgia" w:cs="Times New Roman"/>
        <w:sz w:val="11"/>
        <w:szCs w:val="11"/>
      </w:rPr>
    </w:pPr>
    <w:r w:rsidRPr="008E3B60">
      <w:rPr>
        <w:rFonts w:ascii="Georgia" w:eastAsia="Times New Roman" w:hAnsi="Georgia" w:cs="Times New Roman"/>
        <w:sz w:val="11"/>
        <w:szCs w:val="11"/>
      </w:rPr>
      <w:t xml:space="preserve">  </w:t>
    </w:r>
    <w:bookmarkStart w:id="9" w:name="_Hlk209945441"/>
    <w:bookmarkStart w:id="10" w:name="_Hlk210300716"/>
    <w:bookmarkStart w:id="11" w:name="_Hlk209944404"/>
    <w:r w:rsidRPr="008E3B60">
      <w:rPr>
        <w:rFonts w:ascii="Georgia" w:eastAsia="Times New Roman" w:hAnsi="Georgia" w:cs="Times New Roman"/>
        <w:sz w:val="11"/>
        <w:szCs w:val="11"/>
      </w:rPr>
      <w:t xml:space="preserve">The Review Of </w:t>
    </w:r>
  </w:p>
  <w:p w14:paraId="06BD018A" w14:textId="77777777" w:rsidR="008B59D5" w:rsidRPr="008E3B60" w:rsidRDefault="008B59D5" w:rsidP="008B59D5">
    <w:pPr>
      <w:tabs>
        <w:tab w:val="center" w:pos="4680"/>
        <w:tab w:val="right" w:pos="9360"/>
      </w:tabs>
      <w:spacing w:before="0" w:beforeAutospacing="0" w:after="0" w:afterAutospacing="0" w:line="240" w:lineRule="auto"/>
      <w:jc w:val="left"/>
      <w:rPr>
        <w:rFonts w:eastAsia="Times New Roman" w:cs="Times New Roman"/>
        <w:sz w:val="32"/>
        <w:szCs w:val="28"/>
      </w:rPr>
    </w:pPr>
    <w:r w:rsidRPr="008E3B60">
      <w:rPr>
        <w:rFonts w:eastAsia="Times New Roman" w:cs="Times New Roman"/>
        <w:sz w:val="32"/>
        <w:szCs w:val="28"/>
      </w:rPr>
      <w:t xml:space="preserve">DIABETIC </w:t>
    </w:r>
  </w:p>
  <w:p w14:paraId="06C50B75" w14:textId="1DBD580A" w:rsidR="008B59D5" w:rsidRDefault="008B59D5" w:rsidP="008B59D5">
    <w:pPr>
      <w:tabs>
        <w:tab w:val="center" w:pos="4680"/>
        <w:tab w:val="right" w:pos="9360"/>
      </w:tabs>
      <w:spacing w:before="0" w:beforeAutospacing="0" w:after="0" w:afterAutospacing="0" w:line="240" w:lineRule="auto"/>
      <w:jc w:val="left"/>
      <w:rPr>
        <w:rFonts w:eastAsia="Times New Roman" w:cs="Times New Roman"/>
        <w:sz w:val="32"/>
        <w:szCs w:val="28"/>
        <w:u w:val="single"/>
      </w:rPr>
    </w:pPr>
    <w:r w:rsidRPr="008E3B60">
      <w:rPr>
        <w:rFonts w:eastAsia="Times New Roman" w:cs="Times New Roman"/>
        <w:sz w:val="32"/>
        <w:szCs w:val="28"/>
      </w:rPr>
      <w:t xml:space="preserve">    STUDIES</w:t>
    </w:r>
    <w:r w:rsidRPr="008E3B60">
      <w:rPr>
        <w:rFonts w:eastAsia="Times New Roman" w:cs="Times New Roman"/>
        <w:sz w:val="32"/>
        <w:szCs w:val="28"/>
        <w:u w:val="single"/>
      </w:rPr>
      <w:t xml:space="preserve">                </w:t>
    </w:r>
    <w:r>
      <w:rPr>
        <w:rFonts w:eastAsia="Times New Roman" w:cs="Times New Roman"/>
        <w:sz w:val="32"/>
        <w:szCs w:val="28"/>
        <w:u w:val="single"/>
      </w:rPr>
      <w:t xml:space="preserve">           </w:t>
    </w:r>
    <w:r w:rsidRPr="008E3B60">
      <w:rPr>
        <w:rFonts w:eastAsia="Times New Roman" w:cs="Times New Roman"/>
        <w:sz w:val="32"/>
        <w:szCs w:val="28"/>
        <w:u w:val="single"/>
      </w:rPr>
      <w:t xml:space="preserve">                                       OPEN ACCESS</w:t>
    </w:r>
    <w:bookmarkEnd w:id="9"/>
    <w:bookmarkEnd w:id="10"/>
    <w:bookmarkEnd w:id="11"/>
  </w:p>
  <w:p w14:paraId="2CC95903" w14:textId="77777777" w:rsidR="008B59D5" w:rsidRPr="008B59D5" w:rsidRDefault="008B59D5" w:rsidP="008B59D5">
    <w:pPr>
      <w:tabs>
        <w:tab w:val="center" w:pos="4680"/>
        <w:tab w:val="right" w:pos="9360"/>
      </w:tabs>
      <w:spacing w:before="0" w:beforeAutospacing="0" w:after="0" w:afterAutospacing="0" w:line="240" w:lineRule="auto"/>
      <w:jc w:val="left"/>
      <w:rPr>
        <w:rFonts w:eastAsia="Times New Roman" w:cs="Times New Roman"/>
        <w:sz w:val="32"/>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F25F7"/>
    <w:multiLevelType w:val="hybridMultilevel"/>
    <w:tmpl w:val="DFAC4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05B79"/>
    <w:multiLevelType w:val="multilevel"/>
    <w:tmpl w:val="B4DCF376"/>
    <w:lvl w:ilvl="0">
      <w:start w:val="1"/>
      <w:numFmt w:val="decimal"/>
      <w:lvlText w:val="%1."/>
      <w:lvlJc w:val="left"/>
      <w:pPr>
        <w:ind w:left="720" w:hanging="360"/>
      </w:pPr>
      <w:rPr>
        <w:rFonts w:hint="default"/>
      </w:rPr>
    </w:lvl>
    <w:lvl w:ilvl="1">
      <w:start w:val="1"/>
      <w:numFmt w:val="decimal"/>
      <w:isLgl/>
      <w:lvlText w:val="%1.%2."/>
      <w:lvlJc w:val="left"/>
      <w:pPr>
        <w:ind w:left="38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11F1569"/>
    <w:multiLevelType w:val="multilevel"/>
    <w:tmpl w:val="3F24D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60501B"/>
    <w:multiLevelType w:val="hybridMultilevel"/>
    <w:tmpl w:val="DFAC4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376934">
    <w:abstractNumId w:val="1"/>
  </w:num>
  <w:num w:numId="2" w16cid:durableId="573659276">
    <w:abstractNumId w:val="2"/>
  </w:num>
  <w:num w:numId="3" w16cid:durableId="1990547934">
    <w:abstractNumId w:val="3"/>
  </w:num>
  <w:num w:numId="4" w16cid:durableId="61702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cwN7I0sLQwNjM1NTJW0lEKTi0uzszPAykwrQUAzXbk1y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xr9z5eu002f3e5tdsp0psisaf5s9swzpp2&quot;&gt;XZA&lt;record-ids&gt;&lt;item&gt;1&lt;/item&gt;&lt;item&gt;2&lt;/item&gt;&lt;item&gt;3&lt;/item&gt;&lt;item&gt;4&lt;/item&gt;&lt;item&gt;5&lt;/item&gt;&lt;item&gt;6&lt;/item&gt;&lt;/record-ids&gt;&lt;/item&gt;&lt;/Libraries&gt;"/>
  </w:docVars>
  <w:rsids>
    <w:rsidRoot w:val="003A0445"/>
    <w:rsid w:val="00004222"/>
    <w:rsid w:val="00035D26"/>
    <w:rsid w:val="00041BA6"/>
    <w:rsid w:val="0004507B"/>
    <w:rsid w:val="00056E5C"/>
    <w:rsid w:val="000843F5"/>
    <w:rsid w:val="00090C26"/>
    <w:rsid w:val="000B3DB4"/>
    <w:rsid w:val="000B634A"/>
    <w:rsid w:val="000D694B"/>
    <w:rsid w:val="000F0DB7"/>
    <w:rsid w:val="00104D68"/>
    <w:rsid w:val="001153F1"/>
    <w:rsid w:val="00117200"/>
    <w:rsid w:val="00121D84"/>
    <w:rsid w:val="0012306F"/>
    <w:rsid w:val="0017349E"/>
    <w:rsid w:val="00186B82"/>
    <w:rsid w:val="001A09CC"/>
    <w:rsid w:val="001A103B"/>
    <w:rsid w:val="001B2666"/>
    <w:rsid w:val="001B61CC"/>
    <w:rsid w:val="001E1745"/>
    <w:rsid w:val="001F1C83"/>
    <w:rsid w:val="00206BAE"/>
    <w:rsid w:val="00213BC6"/>
    <w:rsid w:val="002368C7"/>
    <w:rsid w:val="0025555C"/>
    <w:rsid w:val="00271D9B"/>
    <w:rsid w:val="002740ED"/>
    <w:rsid w:val="002814D1"/>
    <w:rsid w:val="002D6AE7"/>
    <w:rsid w:val="002F3173"/>
    <w:rsid w:val="00307212"/>
    <w:rsid w:val="00322E02"/>
    <w:rsid w:val="0034541B"/>
    <w:rsid w:val="00396D7F"/>
    <w:rsid w:val="003A0445"/>
    <w:rsid w:val="003A48A0"/>
    <w:rsid w:val="003B7509"/>
    <w:rsid w:val="003F287E"/>
    <w:rsid w:val="00425368"/>
    <w:rsid w:val="0043054C"/>
    <w:rsid w:val="00437DA2"/>
    <w:rsid w:val="004560DC"/>
    <w:rsid w:val="0046024D"/>
    <w:rsid w:val="00466F10"/>
    <w:rsid w:val="00490CB2"/>
    <w:rsid w:val="004A3C47"/>
    <w:rsid w:val="004C5C38"/>
    <w:rsid w:val="004D3578"/>
    <w:rsid w:val="004F07AF"/>
    <w:rsid w:val="004F7101"/>
    <w:rsid w:val="00523F8E"/>
    <w:rsid w:val="00524537"/>
    <w:rsid w:val="005319B9"/>
    <w:rsid w:val="00573BE5"/>
    <w:rsid w:val="00582D6C"/>
    <w:rsid w:val="005B1F60"/>
    <w:rsid w:val="005D406A"/>
    <w:rsid w:val="00605595"/>
    <w:rsid w:val="006252C1"/>
    <w:rsid w:val="00647379"/>
    <w:rsid w:val="00651DF1"/>
    <w:rsid w:val="006613CB"/>
    <w:rsid w:val="00662EC3"/>
    <w:rsid w:val="00686B8D"/>
    <w:rsid w:val="006876CC"/>
    <w:rsid w:val="0069191A"/>
    <w:rsid w:val="006A0DE0"/>
    <w:rsid w:val="006A1749"/>
    <w:rsid w:val="006C7C5A"/>
    <w:rsid w:val="006D6771"/>
    <w:rsid w:val="006F2E30"/>
    <w:rsid w:val="006F5F5C"/>
    <w:rsid w:val="00701372"/>
    <w:rsid w:val="007039FE"/>
    <w:rsid w:val="00710551"/>
    <w:rsid w:val="0071609A"/>
    <w:rsid w:val="00735F01"/>
    <w:rsid w:val="00750099"/>
    <w:rsid w:val="007501CB"/>
    <w:rsid w:val="00772D46"/>
    <w:rsid w:val="00781477"/>
    <w:rsid w:val="00785F36"/>
    <w:rsid w:val="0078692D"/>
    <w:rsid w:val="00791A0B"/>
    <w:rsid w:val="007B18F0"/>
    <w:rsid w:val="007C73E0"/>
    <w:rsid w:val="007D18C1"/>
    <w:rsid w:val="007D5779"/>
    <w:rsid w:val="007E59B5"/>
    <w:rsid w:val="007F2092"/>
    <w:rsid w:val="0080116D"/>
    <w:rsid w:val="00806FEB"/>
    <w:rsid w:val="00812E88"/>
    <w:rsid w:val="0081338F"/>
    <w:rsid w:val="0083393D"/>
    <w:rsid w:val="008340AB"/>
    <w:rsid w:val="0085064F"/>
    <w:rsid w:val="008725B3"/>
    <w:rsid w:val="008767C8"/>
    <w:rsid w:val="00892409"/>
    <w:rsid w:val="00892BC3"/>
    <w:rsid w:val="008A41AD"/>
    <w:rsid w:val="008B0EC1"/>
    <w:rsid w:val="008B59D5"/>
    <w:rsid w:val="008B66C4"/>
    <w:rsid w:val="008C2DF1"/>
    <w:rsid w:val="008C4959"/>
    <w:rsid w:val="008D2F69"/>
    <w:rsid w:val="008F65A8"/>
    <w:rsid w:val="008F66EE"/>
    <w:rsid w:val="0090318F"/>
    <w:rsid w:val="00914675"/>
    <w:rsid w:val="009429A7"/>
    <w:rsid w:val="00966070"/>
    <w:rsid w:val="009C7D2D"/>
    <w:rsid w:val="009D1859"/>
    <w:rsid w:val="009D2668"/>
    <w:rsid w:val="009D535B"/>
    <w:rsid w:val="009D75BD"/>
    <w:rsid w:val="00A001E7"/>
    <w:rsid w:val="00A46E19"/>
    <w:rsid w:val="00A55AC6"/>
    <w:rsid w:val="00A5766F"/>
    <w:rsid w:val="00A60759"/>
    <w:rsid w:val="00A622C4"/>
    <w:rsid w:val="00A77B6E"/>
    <w:rsid w:val="00AA47AD"/>
    <w:rsid w:val="00AB0552"/>
    <w:rsid w:val="00AB4890"/>
    <w:rsid w:val="00AB518C"/>
    <w:rsid w:val="00AE2C88"/>
    <w:rsid w:val="00AE5473"/>
    <w:rsid w:val="00AF1E77"/>
    <w:rsid w:val="00AF340C"/>
    <w:rsid w:val="00B04588"/>
    <w:rsid w:val="00B136CF"/>
    <w:rsid w:val="00B24DAA"/>
    <w:rsid w:val="00B45716"/>
    <w:rsid w:val="00B627B0"/>
    <w:rsid w:val="00B63ED4"/>
    <w:rsid w:val="00B66104"/>
    <w:rsid w:val="00B71E7F"/>
    <w:rsid w:val="00B741DC"/>
    <w:rsid w:val="00BB11FE"/>
    <w:rsid w:val="00BB27DB"/>
    <w:rsid w:val="00BC0877"/>
    <w:rsid w:val="00BE2100"/>
    <w:rsid w:val="00BE3BDC"/>
    <w:rsid w:val="00C00593"/>
    <w:rsid w:val="00C01817"/>
    <w:rsid w:val="00C02818"/>
    <w:rsid w:val="00C02D5F"/>
    <w:rsid w:val="00C07BF7"/>
    <w:rsid w:val="00C13646"/>
    <w:rsid w:val="00C31203"/>
    <w:rsid w:val="00C31AEF"/>
    <w:rsid w:val="00C445DB"/>
    <w:rsid w:val="00C64F65"/>
    <w:rsid w:val="00C70478"/>
    <w:rsid w:val="00C74630"/>
    <w:rsid w:val="00C81587"/>
    <w:rsid w:val="00C9053A"/>
    <w:rsid w:val="00C91058"/>
    <w:rsid w:val="00CA19FA"/>
    <w:rsid w:val="00CA604F"/>
    <w:rsid w:val="00CB5E90"/>
    <w:rsid w:val="00CC727E"/>
    <w:rsid w:val="00CD3CFF"/>
    <w:rsid w:val="00D14FB3"/>
    <w:rsid w:val="00D56227"/>
    <w:rsid w:val="00D73E11"/>
    <w:rsid w:val="00D74D13"/>
    <w:rsid w:val="00D96E72"/>
    <w:rsid w:val="00DC5DF0"/>
    <w:rsid w:val="00DD69B7"/>
    <w:rsid w:val="00DF2AA9"/>
    <w:rsid w:val="00E325B8"/>
    <w:rsid w:val="00E61799"/>
    <w:rsid w:val="00E76ECD"/>
    <w:rsid w:val="00EC65DC"/>
    <w:rsid w:val="00ED3260"/>
    <w:rsid w:val="00EF7BB4"/>
    <w:rsid w:val="00F124E6"/>
    <w:rsid w:val="00F3639D"/>
    <w:rsid w:val="00F44C3A"/>
    <w:rsid w:val="00F457D8"/>
    <w:rsid w:val="00F47FDA"/>
    <w:rsid w:val="00F835CB"/>
    <w:rsid w:val="00F83D6D"/>
    <w:rsid w:val="00F9052C"/>
    <w:rsid w:val="00F95C16"/>
    <w:rsid w:val="00FB2322"/>
    <w:rsid w:val="00FC0553"/>
    <w:rsid w:val="00FD482B"/>
    <w:rsid w:val="00FD51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61B5A"/>
  <w15:chartTrackingRefBased/>
  <w15:docId w15:val="{214A5CE0-2E3D-4A7E-AC04-0FE39F12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E5"/>
    <w:pPr>
      <w:spacing w:before="100" w:beforeAutospacing="1" w:after="100" w:afterAutospacing="1" w:line="360" w:lineRule="auto"/>
      <w:jc w:val="both"/>
    </w:pPr>
    <w:rPr>
      <w:rFonts w:ascii="Times New Roman" w:eastAsiaTheme="minorHAnsi" w:hAnsi="Times New Roman"/>
      <w:kern w:val="2"/>
      <w:sz w:val="24"/>
      <w:szCs w:val="24"/>
      <w14:ligatures w14:val="standardContextual"/>
    </w:rPr>
  </w:style>
  <w:style w:type="paragraph" w:styleId="Heading1">
    <w:name w:val="heading 1"/>
    <w:basedOn w:val="Normal"/>
    <w:next w:val="Normal"/>
    <w:link w:val="Heading1Char"/>
    <w:uiPriority w:val="9"/>
    <w:qFormat/>
    <w:rsid w:val="00F124E6"/>
    <w:pPr>
      <w:keepNext/>
      <w:keepLines/>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F124E6"/>
    <w:pPr>
      <w:keepNext/>
      <w:keepLines/>
      <w:outlineLvl w:val="1"/>
    </w:pPr>
    <w:rPr>
      <w:rFonts w:cstheme="majorBidi"/>
      <w:b/>
      <w:i/>
      <w:color w:val="000000"/>
      <w:szCs w:val="26"/>
      <w:lang w:eastAsia="en"/>
    </w:rPr>
  </w:style>
  <w:style w:type="paragraph" w:styleId="Heading3">
    <w:name w:val="heading 3"/>
    <w:basedOn w:val="Normal"/>
    <w:next w:val="Normal"/>
    <w:link w:val="Heading3Char"/>
    <w:uiPriority w:val="9"/>
    <w:unhideWhenUsed/>
    <w:qFormat/>
    <w:rsid w:val="00F124E6"/>
    <w:pPr>
      <w:keepNext/>
      <w:keepLines/>
      <w:spacing w:before="40"/>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A46E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24E6"/>
    <w:rPr>
      <w:rFonts w:ascii="Times New Roman" w:eastAsiaTheme="minorHAnsi" w:hAnsi="Times New Roman" w:cstheme="majorBidi"/>
      <w:b/>
      <w:i/>
      <w:color w:val="000000"/>
      <w:kern w:val="2"/>
      <w:sz w:val="24"/>
      <w:szCs w:val="26"/>
      <w:lang w:eastAsia="en"/>
      <w14:ligatures w14:val="standardContextual"/>
    </w:rPr>
  </w:style>
  <w:style w:type="character" w:customStyle="1" w:styleId="Heading3Char">
    <w:name w:val="Heading 3 Char"/>
    <w:basedOn w:val="DefaultParagraphFont"/>
    <w:link w:val="Heading3"/>
    <w:uiPriority w:val="9"/>
    <w:rsid w:val="00F124E6"/>
    <w:rPr>
      <w:rFonts w:ascii="Times New Roman" w:eastAsiaTheme="majorEastAsia" w:hAnsi="Times New Roman" w:cstheme="majorBidi"/>
      <w:i/>
      <w:kern w:val="2"/>
      <w:sz w:val="24"/>
      <w:szCs w:val="24"/>
      <w14:ligatures w14:val="standardContextual"/>
    </w:rPr>
  </w:style>
  <w:style w:type="character" w:customStyle="1" w:styleId="Heading1Char">
    <w:name w:val="Heading 1 Char"/>
    <w:basedOn w:val="DefaultParagraphFont"/>
    <w:link w:val="Heading1"/>
    <w:uiPriority w:val="9"/>
    <w:rsid w:val="00F124E6"/>
    <w:rPr>
      <w:rFonts w:ascii="Times New Roman" w:eastAsiaTheme="majorEastAsia" w:hAnsi="Times New Roman" w:cstheme="majorBidi"/>
      <w:b/>
      <w:color w:val="000000" w:themeColor="text1"/>
      <w:kern w:val="2"/>
      <w:sz w:val="24"/>
      <w:szCs w:val="32"/>
      <w14:ligatures w14:val="standardContextual"/>
    </w:rPr>
  </w:style>
  <w:style w:type="paragraph" w:styleId="Footer">
    <w:name w:val="footer"/>
    <w:basedOn w:val="Normal"/>
    <w:link w:val="FooterChar"/>
    <w:uiPriority w:val="99"/>
    <w:unhideWhenUsed/>
    <w:rsid w:val="003A0445"/>
    <w:pPr>
      <w:tabs>
        <w:tab w:val="center" w:pos="4680"/>
        <w:tab w:val="right" w:pos="9360"/>
      </w:tabs>
    </w:pPr>
  </w:style>
  <w:style w:type="character" w:customStyle="1" w:styleId="FooterChar">
    <w:name w:val="Footer Char"/>
    <w:basedOn w:val="DefaultParagraphFont"/>
    <w:link w:val="Footer"/>
    <w:uiPriority w:val="99"/>
    <w:rsid w:val="003A0445"/>
    <w:rPr>
      <w:rFonts w:eastAsiaTheme="minorHAnsi"/>
      <w:kern w:val="2"/>
      <w:sz w:val="24"/>
      <w:szCs w:val="24"/>
      <w14:ligatures w14:val="standardContextual"/>
    </w:rPr>
  </w:style>
  <w:style w:type="character" w:styleId="PageNumber">
    <w:name w:val="page number"/>
    <w:basedOn w:val="DefaultParagraphFont"/>
    <w:uiPriority w:val="99"/>
    <w:semiHidden/>
    <w:unhideWhenUsed/>
    <w:rsid w:val="003A0445"/>
  </w:style>
  <w:style w:type="paragraph" w:styleId="NormalWeb">
    <w:name w:val="Normal (Web)"/>
    <w:basedOn w:val="Normal"/>
    <w:uiPriority w:val="99"/>
    <w:unhideWhenUsed/>
    <w:rsid w:val="003A0445"/>
    <w:rPr>
      <w:rFonts w:eastAsia="Times New Roman" w:cs="Times New Roman"/>
      <w:kern w:val="0"/>
      <w14:ligatures w14:val="none"/>
    </w:rPr>
  </w:style>
  <w:style w:type="paragraph" w:styleId="Header">
    <w:name w:val="header"/>
    <w:basedOn w:val="Normal"/>
    <w:link w:val="HeaderChar"/>
    <w:uiPriority w:val="99"/>
    <w:unhideWhenUsed/>
    <w:rsid w:val="003A0445"/>
    <w:pPr>
      <w:tabs>
        <w:tab w:val="center" w:pos="4680"/>
        <w:tab w:val="right" w:pos="9360"/>
      </w:tabs>
    </w:pPr>
  </w:style>
  <w:style w:type="character" w:customStyle="1" w:styleId="HeaderChar">
    <w:name w:val="Header Char"/>
    <w:basedOn w:val="DefaultParagraphFont"/>
    <w:link w:val="Header"/>
    <w:uiPriority w:val="99"/>
    <w:rsid w:val="003A0445"/>
    <w:rPr>
      <w:rFonts w:eastAsiaTheme="minorHAnsi"/>
      <w:kern w:val="2"/>
      <w:sz w:val="24"/>
      <w:szCs w:val="24"/>
      <w14:ligatures w14:val="standardContextual"/>
    </w:rPr>
  </w:style>
  <w:style w:type="paragraph" w:customStyle="1" w:styleId="EndNoteBibliographyTitle">
    <w:name w:val="EndNote Bibliography Title"/>
    <w:basedOn w:val="Normal"/>
    <w:link w:val="EndNoteBibliographyTitleChar"/>
    <w:rsid w:val="008F66EE"/>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8F66EE"/>
    <w:rPr>
      <w:rFonts w:ascii="Times New Roman" w:eastAsiaTheme="minorHAnsi" w:hAnsi="Times New Roman" w:cs="Times New Roman"/>
      <w:noProof/>
      <w:kern w:val="2"/>
      <w:sz w:val="24"/>
      <w:szCs w:val="24"/>
      <w14:ligatures w14:val="standardContextual"/>
    </w:rPr>
  </w:style>
  <w:style w:type="paragraph" w:customStyle="1" w:styleId="EndNoteBibliography">
    <w:name w:val="EndNote Bibliography"/>
    <w:basedOn w:val="Normal"/>
    <w:link w:val="EndNoteBibliographyChar"/>
    <w:rsid w:val="008F66EE"/>
    <w:pPr>
      <w:spacing w:line="240" w:lineRule="auto"/>
    </w:pPr>
    <w:rPr>
      <w:rFonts w:cs="Times New Roman"/>
      <w:noProof/>
    </w:rPr>
  </w:style>
  <w:style w:type="character" w:customStyle="1" w:styleId="EndNoteBibliographyChar">
    <w:name w:val="EndNote Bibliography Char"/>
    <w:basedOn w:val="DefaultParagraphFont"/>
    <w:link w:val="EndNoteBibliography"/>
    <w:rsid w:val="008F66EE"/>
    <w:rPr>
      <w:rFonts w:ascii="Times New Roman" w:eastAsiaTheme="minorHAnsi" w:hAnsi="Times New Roman" w:cs="Times New Roman"/>
      <w:noProof/>
      <w:kern w:val="2"/>
      <w:sz w:val="24"/>
      <w:szCs w:val="24"/>
      <w14:ligatures w14:val="standardContextual"/>
    </w:rPr>
  </w:style>
  <w:style w:type="character" w:styleId="Strong">
    <w:name w:val="Strong"/>
    <w:basedOn w:val="DefaultParagraphFont"/>
    <w:uiPriority w:val="22"/>
    <w:qFormat/>
    <w:rsid w:val="00785F36"/>
    <w:rPr>
      <w:b/>
      <w:bCs/>
    </w:rPr>
  </w:style>
  <w:style w:type="character" w:customStyle="1" w:styleId="overflow-hidden">
    <w:name w:val="overflow-hidden"/>
    <w:basedOn w:val="DefaultParagraphFont"/>
    <w:rsid w:val="00785F36"/>
  </w:style>
  <w:style w:type="table" w:styleId="TableGrid">
    <w:name w:val="Table Grid"/>
    <w:basedOn w:val="TableNormal"/>
    <w:uiPriority w:val="39"/>
    <w:rsid w:val="00785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70478"/>
    <w:pPr>
      <w:spacing w:before="0" w:after="200" w:line="240" w:lineRule="auto"/>
    </w:pPr>
    <w:rPr>
      <w:i/>
      <w:iCs/>
      <w:color w:val="44546A" w:themeColor="text2"/>
      <w:sz w:val="18"/>
      <w:szCs w:val="18"/>
    </w:rPr>
  </w:style>
  <w:style w:type="paragraph" w:styleId="ListParagraph">
    <w:name w:val="List Paragraph"/>
    <w:basedOn w:val="Normal"/>
    <w:uiPriority w:val="34"/>
    <w:qFormat/>
    <w:rsid w:val="009D75BD"/>
    <w:pPr>
      <w:ind w:left="720"/>
      <w:contextualSpacing/>
    </w:pPr>
  </w:style>
  <w:style w:type="character" w:styleId="Hyperlink">
    <w:name w:val="Hyperlink"/>
    <w:basedOn w:val="DefaultParagraphFont"/>
    <w:uiPriority w:val="99"/>
    <w:unhideWhenUsed/>
    <w:rsid w:val="00AB518C"/>
    <w:rPr>
      <w:color w:val="0563C1" w:themeColor="hyperlink"/>
      <w:u w:val="single"/>
    </w:rPr>
  </w:style>
  <w:style w:type="character" w:styleId="CommentReference">
    <w:name w:val="annotation reference"/>
    <w:basedOn w:val="DefaultParagraphFont"/>
    <w:uiPriority w:val="99"/>
    <w:semiHidden/>
    <w:unhideWhenUsed/>
    <w:rsid w:val="00BB11FE"/>
    <w:rPr>
      <w:sz w:val="16"/>
      <w:szCs w:val="16"/>
    </w:rPr>
  </w:style>
  <w:style w:type="paragraph" w:styleId="CommentText">
    <w:name w:val="annotation text"/>
    <w:basedOn w:val="Normal"/>
    <w:link w:val="CommentTextChar"/>
    <w:uiPriority w:val="99"/>
    <w:semiHidden/>
    <w:unhideWhenUsed/>
    <w:rsid w:val="00BB11FE"/>
    <w:pPr>
      <w:spacing w:line="240" w:lineRule="auto"/>
    </w:pPr>
    <w:rPr>
      <w:sz w:val="20"/>
      <w:szCs w:val="20"/>
    </w:rPr>
  </w:style>
  <w:style w:type="character" w:customStyle="1" w:styleId="CommentTextChar">
    <w:name w:val="Comment Text Char"/>
    <w:basedOn w:val="DefaultParagraphFont"/>
    <w:link w:val="CommentText"/>
    <w:uiPriority w:val="99"/>
    <w:semiHidden/>
    <w:rsid w:val="00BB11FE"/>
    <w:rPr>
      <w:rFonts w:ascii="Times New Roman" w:eastAsiaTheme="minorHAnsi" w:hAnsi="Times New Roman"/>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B11FE"/>
    <w:rPr>
      <w:b/>
      <w:bCs/>
    </w:rPr>
  </w:style>
  <w:style w:type="character" w:customStyle="1" w:styleId="CommentSubjectChar">
    <w:name w:val="Comment Subject Char"/>
    <w:basedOn w:val="CommentTextChar"/>
    <w:link w:val="CommentSubject"/>
    <w:uiPriority w:val="99"/>
    <w:semiHidden/>
    <w:rsid w:val="00BB11FE"/>
    <w:rPr>
      <w:rFonts w:ascii="Times New Roman" w:eastAsiaTheme="minorHAnsi" w:hAnsi="Times New Roman"/>
      <w:b/>
      <w:bCs/>
      <w:kern w:val="2"/>
      <w:sz w:val="20"/>
      <w:szCs w:val="20"/>
      <w14:ligatures w14:val="standardContextual"/>
    </w:rPr>
  </w:style>
  <w:style w:type="paragraph" w:styleId="BalloonText">
    <w:name w:val="Balloon Text"/>
    <w:basedOn w:val="Normal"/>
    <w:link w:val="BalloonTextChar"/>
    <w:uiPriority w:val="99"/>
    <w:semiHidden/>
    <w:unhideWhenUsed/>
    <w:rsid w:val="00BB11F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1FE"/>
    <w:rPr>
      <w:rFonts w:ascii="Segoe UI" w:eastAsiaTheme="minorHAnsi" w:hAnsi="Segoe UI" w:cs="Segoe UI"/>
      <w:kern w:val="2"/>
      <w:sz w:val="18"/>
      <w:szCs w:val="18"/>
      <w14:ligatures w14:val="standardContextual"/>
    </w:rPr>
  </w:style>
  <w:style w:type="paragraph" w:styleId="Revision">
    <w:name w:val="Revision"/>
    <w:hidden/>
    <w:uiPriority w:val="99"/>
    <w:semiHidden/>
    <w:rsid w:val="00C91058"/>
    <w:pPr>
      <w:spacing w:after="0" w:line="240" w:lineRule="auto"/>
    </w:pPr>
    <w:rPr>
      <w:rFonts w:ascii="Times New Roman" w:eastAsiaTheme="minorHAnsi" w:hAnsi="Times New Roman"/>
      <w:kern w:val="2"/>
      <w:sz w:val="24"/>
      <w:szCs w:val="24"/>
      <w14:ligatures w14:val="standardContextual"/>
    </w:rPr>
  </w:style>
  <w:style w:type="character" w:customStyle="1" w:styleId="Heading4Char">
    <w:name w:val="Heading 4 Char"/>
    <w:basedOn w:val="DefaultParagraphFont"/>
    <w:link w:val="Heading4"/>
    <w:uiPriority w:val="9"/>
    <w:semiHidden/>
    <w:rsid w:val="00A46E19"/>
    <w:rPr>
      <w:rFonts w:asciiTheme="majorHAnsi" w:eastAsiaTheme="majorEastAsia" w:hAnsiTheme="majorHAnsi" w:cstheme="majorBidi"/>
      <w:i/>
      <w:iCs/>
      <w:color w:val="2E74B5" w:themeColor="accent1" w:themeShade="BF"/>
      <w:kern w:val="2"/>
      <w:sz w:val="24"/>
      <w:szCs w:val="24"/>
      <w14:ligatures w14:val="standardContextual"/>
    </w:rPr>
  </w:style>
  <w:style w:type="character" w:styleId="FollowedHyperlink">
    <w:name w:val="FollowedHyperlink"/>
    <w:basedOn w:val="DefaultParagraphFont"/>
    <w:uiPriority w:val="99"/>
    <w:semiHidden/>
    <w:unhideWhenUsed/>
    <w:rsid w:val="00117200"/>
    <w:rPr>
      <w:color w:val="954F72" w:themeColor="followedHyperlink"/>
      <w:u w:val="single"/>
    </w:rPr>
  </w:style>
  <w:style w:type="character" w:styleId="UnresolvedMention">
    <w:name w:val="Unresolved Mention"/>
    <w:basedOn w:val="DefaultParagraphFont"/>
    <w:uiPriority w:val="99"/>
    <w:semiHidden/>
    <w:unhideWhenUsed/>
    <w:rsid w:val="008B5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6310">
      <w:bodyDiv w:val="1"/>
      <w:marLeft w:val="0"/>
      <w:marRight w:val="0"/>
      <w:marTop w:val="0"/>
      <w:marBottom w:val="0"/>
      <w:divBdr>
        <w:top w:val="none" w:sz="0" w:space="0" w:color="auto"/>
        <w:left w:val="none" w:sz="0" w:space="0" w:color="auto"/>
        <w:bottom w:val="none" w:sz="0" w:space="0" w:color="auto"/>
        <w:right w:val="none" w:sz="0" w:space="0" w:color="auto"/>
      </w:divBdr>
    </w:div>
    <w:div w:id="731466456">
      <w:bodyDiv w:val="1"/>
      <w:marLeft w:val="0"/>
      <w:marRight w:val="0"/>
      <w:marTop w:val="0"/>
      <w:marBottom w:val="0"/>
      <w:divBdr>
        <w:top w:val="none" w:sz="0" w:space="0" w:color="auto"/>
        <w:left w:val="none" w:sz="0" w:space="0" w:color="auto"/>
        <w:bottom w:val="none" w:sz="0" w:space="0" w:color="auto"/>
        <w:right w:val="none" w:sz="0" w:space="0" w:color="auto"/>
      </w:divBdr>
    </w:div>
    <w:div w:id="755519054">
      <w:bodyDiv w:val="1"/>
      <w:marLeft w:val="0"/>
      <w:marRight w:val="0"/>
      <w:marTop w:val="0"/>
      <w:marBottom w:val="0"/>
      <w:divBdr>
        <w:top w:val="none" w:sz="0" w:space="0" w:color="auto"/>
        <w:left w:val="none" w:sz="0" w:space="0" w:color="auto"/>
        <w:bottom w:val="none" w:sz="0" w:space="0" w:color="auto"/>
        <w:right w:val="none" w:sz="0" w:space="0" w:color="auto"/>
      </w:divBdr>
      <w:divsChild>
        <w:div w:id="1260598246">
          <w:marLeft w:val="0"/>
          <w:marRight w:val="0"/>
          <w:marTop w:val="0"/>
          <w:marBottom w:val="0"/>
          <w:divBdr>
            <w:top w:val="none" w:sz="0" w:space="0" w:color="auto"/>
            <w:left w:val="none" w:sz="0" w:space="0" w:color="auto"/>
            <w:bottom w:val="none" w:sz="0" w:space="0" w:color="auto"/>
            <w:right w:val="none" w:sz="0" w:space="0" w:color="auto"/>
          </w:divBdr>
          <w:divsChild>
            <w:div w:id="140924826">
              <w:marLeft w:val="0"/>
              <w:marRight w:val="0"/>
              <w:marTop w:val="0"/>
              <w:marBottom w:val="0"/>
              <w:divBdr>
                <w:top w:val="none" w:sz="0" w:space="0" w:color="auto"/>
                <w:left w:val="none" w:sz="0" w:space="0" w:color="auto"/>
                <w:bottom w:val="none" w:sz="0" w:space="0" w:color="auto"/>
                <w:right w:val="none" w:sz="0" w:space="0" w:color="auto"/>
              </w:divBdr>
              <w:divsChild>
                <w:div w:id="377706008">
                  <w:marLeft w:val="0"/>
                  <w:marRight w:val="0"/>
                  <w:marTop w:val="0"/>
                  <w:marBottom w:val="0"/>
                  <w:divBdr>
                    <w:top w:val="none" w:sz="0" w:space="0" w:color="auto"/>
                    <w:left w:val="none" w:sz="0" w:space="0" w:color="auto"/>
                    <w:bottom w:val="none" w:sz="0" w:space="0" w:color="auto"/>
                    <w:right w:val="none" w:sz="0" w:space="0" w:color="auto"/>
                  </w:divBdr>
                  <w:divsChild>
                    <w:div w:id="21025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3733">
          <w:marLeft w:val="0"/>
          <w:marRight w:val="0"/>
          <w:marTop w:val="0"/>
          <w:marBottom w:val="0"/>
          <w:divBdr>
            <w:top w:val="none" w:sz="0" w:space="0" w:color="auto"/>
            <w:left w:val="none" w:sz="0" w:space="0" w:color="auto"/>
            <w:bottom w:val="none" w:sz="0" w:space="0" w:color="auto"/>
            <w:right w:val="none" w:sz="0" w:space="0" w:color="auto"/>
          </w:divBdr>
          <w:divsChild>
            <w:div w:id="1441029635">
              <w:marLeft w:val="0"/>
              <w:marRight w:val="0"/>
              <w:marTop w:val="0"/>
              <w:marBottom w:val="0"/>
              <w:divBdr>
                <w:top w:val="none" w:sz="0" w:space="0" w:color="auto"/>
                <w:left w:val="none" w:sz="0" w:space="0" w:color="auto"/>
                <w:bottom w:val="none" w:sz="0" w:space="0" w:color="auto"/>
                <w:right w:val="none" w:sz="0" w:space="0" w:color="auto"/>
              </w:divBdr>
              <w:divsChild>
                <w:div w:id="1974410421">
                  <w:marLeft w:val="0"/>
                  <w:marRight w:val="0"/>
                  <w:marTop w:val="0"/>
                  <w:marBottom w:val="0"/>
                  <w:divBdr>
                    <w:top w:val="none" w:sz="0" w:space="0" w:color="auto"/>
                    <w:left w:val="none" w:sz="0" w:space="0" w:color="auto"/>
                    <w:bottom w:val="none" w:sz="0" w:space="0" w:color="auto"/>
                    <w:right w:val="none" w:sz="0" w:space="0" w:color="auto"/>
                  </w:divBdr>
                  <w:divsChild>
                    <w:div w:id="2857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94422">
      <w:bodyDiv w:val="1"/>
      <w:marLeft w:val="0"/>
      <w:marRight w:val="0"/>
      <w:marTop w:val="0"/>
      <w:marBottom w:val="0"/>
      <w:divBdr>
        <w:top w:val="none" w:sz="0" w:space="0" w:color="auto"/>
        <w:left w:val="none" w:sz="0" w:space="0" w:color="auto"/>
        <w:bottom w:val="none" w:sz="0" w:space="0" w:color="auto"/>
        <w:right w:val="none" w:sz="0" w:space="0" w:color="auto"/>
      </w:divBdr>
    </w:div>
    <w:div w:id="911237705">
      <w:bodyDiv w:val="1"/>
      <w:marLeft w:val="0"/>
      <w:marRight w:val="0"/>
      <w:marTop w:val="0"/>
      <w:marBottom w:val="0"/>
      <w:divBdr>
        <w:top w:val="none" w:sz="0" w:space="0" w:color="auto"/>
        <w:left w:val="none" w:sz="0" w:space="0" w:color="auto"/>
        <w:bottom w:val="none" w:sz="0" w:space="0" w:color="auto"/>
        <w:right w:val="none" w:sz="0" w:space="0" w:color="auto"/>
      </w:divBdr>
      <w:divsChild>
        <w:div w:id="2084713438">
          <w:marLeft w:val="0"/>
          <w:marRight w:val="0"/>
          <w:marTop w:val="0"/>
          <w:marBottom w:val="0"/>
          <w:divBdr>
            <w:top w:val="none" w:sz="0" w:space="0" w:color="auto"/>
            <w:left w:val="none" w:sz="0" w:space="0" w:color="auto"/>
            <w:bottom w:val="none" w:sz="0" w:space="0" w:color="auto"/>
            <w:right w:val="none" w:sz="0" w:space="0" w:color="auto"/>
          </w:divBdr>
          <w:divsChild>
            <w:div w:id="1337537299">
              <w:marLeft w:val="0"/>
              <w:marRight w:val="0"/>
              <w:marTop w:val="0"/>
              <w:marBottom w:val="0"/>
              <w:divBdr>
                <w:top w:val="none" w:sz="0" w:space="0" w:color="auto"/>
                <w:left w:val="none" w:sz="0" w:space="0" w:color="auto"/>
                <w:bottom w:val="none" w:sz="0" w:space="0" w:color="auto"/>
                <w:right w:val="none" w:sz="0" w:space="0" w:color="auto"/>
              </w:divBdr>
              <w:divsChild>
                <w:div w:id="1737049045">
                  <w:marLeft w:val="0"/>
                  <w:marRight w:val="0"/>
                  <w:marTop w:val="0"/>
                  <w:marBottom w:val="0"/>
                  <w:divBdr>
                    <w:top w:val="none" w:sz="0" w:space="0" w:color="auto"/>
                    <w:left w:val="none" w:sz="0" w:space="0" w:color="auto"/>
                    <w:bottom w:val="none" w:sz="0" w:space="0" w:color="auto"/>
                    <w:right w:val="none" w:sz="0" w:space="0" w:color="auto"/>
                  </w:divBdr>
                  <w:divsChild>
                    <w:div w:id="9808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7442">
          <w:marLeft w:val="0"/>
          <w:marRight w:val="0"/>
          <w:marTop w:val="0"/>
          <w:marBottom w:val="0"/>
          <w:divBdr>
            <w:top w:val="none" w:sz="0" w:space="0" w:color="auto"/>
            <w:left w:val="none" w:sz="0" w:space="0" w:color="auto"/>
            <w:bottom w:val="none" w:sz="0" w:space="0" w:color="auto"/>
            <w:right w:val="none" w:sz="0" w:space="0" w:color="auto"/>
          </w:divBdr>
          <w:divsChild>
            <w:div w:id="14499058">
              <w:marLeft w:val="0"/>
              <w:marRight w:val="0"/>
              <w:marTop w:val="0"/>
              <w:marBottom w:val="0"/>
              <w:divBdr>
                <w:top w:val="none" w:sz="0" w:space="0" w:color="auto"/>
                <w:left w:val="none" w:sz="0" w:space="0" w:color="auto"/>
                <w:bottom w:val="none" w:sz="0" w:space="0" w:color="auto"/>
                <w:right w:val="none" w:sz="0" w:space="0" w:color="auto"/>
              </w:divBdr>
              <w:divsChild>
                <w:div w:id="1867521957">
                  <w:marLeft w:val="0"/>
                  <w:marRight w:val="0"/>
                  <w:marTop w:val="0"/>
                  <w:marBottom w:val="0"/>
                  <w:divBdr>
                    <w:top w:val="none" w:sz="0" w:space="0" w:color="auto"/>
                    <w:left w:val="none" w:sz="0" w:space="0" w:color="auto"/>
                    <w:bottom w:val="none" w:sz="0" w:space="0" w:color="auto"/>
                    <w:right w:val="none" w:sz="0" w:space="0" w:color="auto"/>
                  </w:divBdr>
                  <w:divsChild>
                    <w:div w:id="16702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596719">
      <w:bodyDiv w:val="1"/>
      <w:marLeft w:val="0"/>
      <w:marRight w:val="0"/>
      <w:marTop w:val="0"/>
      <w:marBottom w:val="0"/>
      <w:divBdr>
        <w:top w:val="none" w:sz="0" w:space="0" w:color="auto"/>
        <w:left w:val="none" w:sz="0" w:space="0" w:color="auto"/>
        <w:bottom w:val="none" w:sz="0" w:space="0" w:color="auto"/>
        <w:right w:val="none" w:sz="0" w:space="0" w:color="auto"/>
      </w:divBdr>
      <w:divsChild>
        <w:div w:id="584609377">
          <w:marLeft w:val="0"/>
          <w:marRight w:val="0"/>
          <w:marTop w:val="0"/>
          <w:marBottom w:val="0"/>
          <w:divBdr>
            <w:top w:val="none" w:sz="0" w:space="0" w:color="auto"/>
            <w:left w:val="none" w:sz="0" w:space="0" w:color="auto"/>
            <w:bottom w:val="none" w:sz="0" w:space="0" w:color="auto"/>
            <w:right w:val="none" w:sz="0" w:space="0" w:color="auto"/>
          </w:divBdr>
          <w:divsChild>
            <w:div w:id="1129936898">
              <w:marLeft w:val="0"/>
              <w:marRight w:val="0"/>
              <w:marTop w:val="0"/>
              <w:marBottom w:val="0"/>
              <w:divBdr>
                <w:top w:val="none" w:sz="0" w:space="0" w:color="auto"/>
                <w:left w:val="none" w:sz="0" w:space="0" w:color="auto"/>
                <w:bottom w:val="none" w:sz="0" w:space="0" w:color="auto"/>
                <w:right w:val="none" w:sz="0" w:space="0" w:color="auto"/>
              </w:divBdr>
              <w:divsChild>
                <w:div w:id="1572037968">
                  <w:marLeft w:val="0"/>
                  <w:marRight w:val="0"/>
                  <w:marTop w:val="0"/>
                  <w:marBottom w:val="0"/>
                  <w:divBdr>
                    <w:top w:val="none" w:sz="0" w:space="0" w:color="auto"/>
                    <w:left w:val="none" w:sz="0" w:space="0" w:color="auto"/>
                    <w:bottom w:val="none" w:sz="0" w:space="0" w:color="auto"/>
                    <w:right w:val="none" w:sz="0" w:space="0" w:color="auto"/>
                  </w:divBdr>
                  <w:divsChild>
                    <w:div w:id="4121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6728">
      <w:bodyDiv w:val="1"/>
      <w:marLeft w:val="0"/>
      <w:marRight w:val="0"/>
      <w:marTop w:val="0"/>
      <w:marBottom w:val="0"/>
      <w:divBdr>
        <w:top w:val="none" w:sz="0" w:space="0" w:color="auto"/>
        <w:left w:val="none" w:sz="0" w:space="0" w:color="auto"/>
        <w:bottom w:val="none" w:sz="0" w:space="0" w:color="auto"/>
        <w:right w:val="none" w:sz="0" w:space="0" w:color="auto"/>
      </w:divBdr>
      <w:divsChild>
        <w:div w:id="688218881">
          <w:marLeft w:val="0"/>
          <w:marRight w:val="0"/>
          <w:marTop w:val="0"/>
          <w:marBottom w:val="0"/>
          <w:divBdr>
            <w:top w:val="none" w:sz="0" w:space="0" w:color="auto"/>
            <w:left w:val="none" w:sz="0" w:space="0" w:color="auto"/>
            <w:bottom w:val="none" w:sz="0" w:space="0" w:color="auto"/>
            <w:right w:val="none" w:sz="0" w:space="0" w:color="auto"/>
          </w:divBdr>
          <w:divsChild>
            <w:div w:id="488790083">
              <w:marLeft w:val="0"/>
              <w:marRight w:val="0"/>
              <w:marTop w:val="0"/>
              <w:marBottom w:val="0"/>
              <w:divBdr>
                <w:top w:val="none" w:sz="0" w:space="0" w:color="auto"/>
                <w:left w:val="none" w:sz="0" w:space="0" w:color="auto"/>
                <w:bottom w:val="none" w:sz="0" w:space="0" w:color="auto"/>
                <w:right w:val="none" w:sz="0" w:space="0" w:color="auto"/>
              </w:divBdr>
              <w:divsChild>
                <w:div w:id="408772872">
                  <w:marLeft w:val="0"/>
                  <w:marRight w:val="0"/>
                  <w:marTop w:val="0"/>
                  <w:marBottom w:val="0"/>
                  <w:divBdr>
                    <w:top w:val="none" w:sz="0" w:space="0" w:color="auto"/>
                    <w:left w:val="none" w:sz="0" w:space="0" w:color="auto"/>
                    <w:bottom w:val="none" w:sz="0" w:space="0" w:color="auto"/>
                    <w:right w:val="none" w:sz="0" w:space="0" w:color="auto"/>
                  </w:divBdr>
                  <w:divsChild>
                    <w:div w:id="195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90892">
          <w:marLeft w:val="0"/>
          <w:marRight w:val="0"/>
          <w:marTop w:val="0"/>
          <w:marBottom w:val="0"/>
          <w:divBdr>
            <w:top w:val="none" w:sz="0" w:space="0" w:color="auto"/>
            <w:left w:val="none" w:sz="0" w:space="0" w:color="auto"/>
            <w:bottom w:val="none" w:sz="0" w:space="0" w:color="auto"/>
            <w:right w:val="none" w:sz="0" w:space="0" w:color="auto"/>
          </w:divBdr>
          <w:divsChild>
            <w:div w:id="573510219">
              <w:marLeft w:val="0"/>
              <w:marRight w:val="0"/>
              <w:marTop w:val="0"/>
              <w:marBottom w:val="0"/>
              <w:divBdr>
                <w:top w:val="none" w:sz="0" w:space="0" w:color="auto"/>
                <w:left w:val="none" w:sz="0" w:space="0" w:color="auto"/>
                <w:bottom w:val="none" w:sz="0" w:space="0" w:color="auto"/>
                <w:right w:val="none" w:sz="0" w:space="0" w:color="auto"/>
              </w:divBdr>
              <w:divsChild>
                <w:div w:id="1769082501">
                  <w:marLeft w:val="0"/>
                  <w:marRight w:val="0"/>
                  <w:marTop w:val="0"/>
                  <w:marBottom w:val="0"/>
                  <w:divBdr>
                    <w:top w:val="none" w:sz="0" w:space="0" w:color="auto"/>
                    <w:left w:val="none" w:sz="0" w:space="0" w:color="auto"/>
                    <w:bottom w:val="none" w:sz="0" w:space="0" w:color="auto"/>
                    <w:right w:val="none" w:sz="0" w:space="0" w:color="auto"/>
                  </w:divBdr>
                  <w:divsChild>
                    <w:div w:id="12643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53207">
      <w:bodyDiv w:val="1"/>
      <w:marLeft w:val="0"/>
      <w:marRight w:val="0"/>
      <w:marTop w:val="0"/>
      <w:marBottom w:val="0"/>
      <w:divBdr>
        <w:top w:val="none" w:sz="0" w:space="0" w:color="auto"/>
        <w:left w:val="none" w:sz="0" w:space="0" w:color="auto"/>
        <w:bottom w:val="none" w:sz="0" w:space="0" w:color="auto"/>
        <w:right w:val="none" w:sz="0" w:space="0" w:color="auto"/>
      </w:divBdr>
    </w:div>
    <w:div w:id="1662195495">
      <w:bodyDiv w:val="1"/>
      <w:marLeft w:val="0"/>
      <w:marRight w:val="0"/>
      <w:marTop w:val="0"/>
      <w:marBottom w:val="0"/>
      <w:divBdr>
        <w:top w:val="none" w:sz="0" w:space="0" w:color="auto"/>
        <w:left w:val="none" w:sz="0" w:space="0" w:color="auto"/>
        <w:bottom w:val="none" w:sz="0" w:space="0" w:color="auto"/>
        <w:right w:val="none" w:sz="0" w:space="0" w:color="auto"/>
      </w:divBdr>
    </w:div>
    <w:div w:id="17784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IABETICSTUDIES.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IABETICSTUDIES.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y%20Drive\1203\OV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y%20Drive\1203\OV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My%20Drive\1203\OV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My%20Drive\1203\OV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My%20Drive\1203\OV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H:\My%20Drive\1203\OV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H:\My%20Drive\1203\OVR.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Number of OVRs per quarter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Sheet1!$B$7:$B$8</c:f>
              <c:strCache>
                <c:ptCount val="2"/>
                <c:pt idx="1">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Sheet1!$A$9:$A$13</c:f>
              <c:strCache>
                <c:ptCount val="5"/>
                <c:pt idx="0">
                  <c:v>Q1</c:v>
                </c:pt>
                <c:pt idx="1">
                  <c:v>Q2</c:v>
                </c:pt>
                <c:pt idx="2">
                  <c:v>Q3</c:v>
                </c:pt>
                <c:pt idx="3">
                  <c:v>Q4</c:v>
                </c:pt>
                <c:pt idx="4">
                  <c:v>Total </c:v>
                </c:pt>
              </c:strCache>
            </c:strRef>
          </c:cat>
          <c:val>
            <c:numRef>
              <c:f>Sheet1!$B$9:$B$13</c:f>
              <c:numCache>
                <c:formatCode>General</c:formatCode>
                <c:ptCount val="5"/>
                <c:pt idx="0">
                  <c:v>8882</c:v>
                </c:pt>
                <c:pt idx="1">
                  <c:v>7373</c:v>
                </c:pt>
                <c:pt idx="2">
                  <c:v>7857</c:v>
                </c:pt>
                <c:pt idx="3">
                  <c:v>9058</c:v>
                </c:pt>
                <c:pt idx="4">
                  <c:v>33170</c:v>
                </c:pt>
              </c:numCache>
            </c:numRef>
          </c:val>
          <c:extLst>
            <c:ext xmlns:c16="http://schemas.microsoft.com/office/drawing/2014/chart" uri="{C3380CC4-5D6E-409C-BE32-E72D297353CC}">
              <c16:uniqueId val="{00000000-A13F-47CA-9CCA-745154530D86}"/>
            </c:ext>
          </c:extLst>
        </c:ser>
        <c:ser>
          <c:idx val="1"/>
          <c:order val="1"/>
          <c:tx>
            <c:strRef>
              <c:f>Sheet1!$C$7:$C$8</c:f>
              <c:strCache>
                <c:ptCount val="2"/>
                <c:pt idx="1">
                  <c:v>2022</c:v>
                </c:pt>
              </c:strCache>
            </c:strRef>
          </c:tx>
          <c:spPr>
            <a:solidFill>
              <a:schemeClr val="accent2"/>
            </a:solidFill>
            <a:ln>
              <a:noFill/>
            </a:ln>
            <a:effectLst/>
          </c:spPr>
          <c:invertIfNegative val="0"/>
          <c:dLbls>
            <c:dLbl>
              <c:idx val="4"/>
              <c:layout>
                <c:manualLayout>
                  <c:x val="8.78155872667398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3F-47CA-9CCA-745154530D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Sheet1!$A$9:$A$13</c:f>
              <c:strCache>
                <c:ptCount val="5"/>
                <c:pt idx="0">
                  <c:v>Q1</c:v>
                </c:pt>
                <c:pt idx="1">
                  <c:v>Q2</c:v>
                </c:pt>
                <c:pt idx="2">
                  <c:v>Q3</c:v>
                </c:pt>
                <c:pt idx="3">
                  <c:v>Q4</c:v>
                </c:pt>
                <c:pt idx="4">
                  <c:v>Total </c:v>
                </c:pt>
              </c:strCache>
            </c:strRef>
          </c:cat>
          <c:val>
            <c:numRef>
              <c:f>Sheet1!$C$9:$C$13</c:f>
              <c:numCache>
                <c:formatCode>General</c:formatCode>
                <c:ptCount val="5"/>
                <c:pt idx="0">
                  <c:v>6610</c:v>
                </c:pt>
                <c:pt idx="1">
                  <c:v>5958</c:v>
                </c:pt>
                <c:pt idx="2">
                  <c:v>5687</c:v>
                </c:pt>
                <c:pt idx="3">
                  <c:v>6185</c:v>
                </c:pt>
                <c:pt idx="4">
                  <c:v>24423</c:v>
                </c:pt>
              </c:numCache>
            </c:numRef>
          </c:val>
          <c:extLst>
            <c:ext xmlns:c16="http://schemas.microsoft.com/office/drawing/2014/chart" uri="{C3380CC4-5D6E-409C-BE32-E72D297353CC}">
              <c16:uniqueId val="{00000002-A13F-47CA-9CCA-745154530D86}"/>
            </c:ext>
          </c:extLst>
        </c:ser>
        <c:ser>
          <c:idx val="2"/>
          <c:order val="2"/>
          <c:tx>
            <c:strRef>
              <c:f>Sheet1!$D$7:$D$8</c:f>
              <c:strCache>
                <c:ptCount val="2"/>
                <c:pt idx="1">
                  <c:v>2023</c:v>
                </c:pt>
              </c:strCache>
            </c:strRef>
          </c:tx>
          <c:spPr>
            <a:solidFill>
              <a:schemeClr val="accent3"/>
            </a:solidFill>
            <a:ln>
              <a:noFill/>
            </a:ln>
            <a:effectLst/>
          </c:spPr>
          <c:invertIfNegative val="0"/>
          <c:dLbls>
            <c:dLbl>
              <c:idx val="1"/>
              <c:layout>
                <c:manualLayout>
                  <c:x val="0"/>
                  <c:y val="-2.7972027972027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3F-47CA-9CCA-745154530D86}"/>
                </c:ext>
              </c:extLst>
            </c:dLbl>
            <c:dLbl>
              <c:idx val="2"/>
              <c:layout>
                <c:manualLayout>
                  <c:x val="0"/>
                  <c:y val="-2.097902097902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3F-47CA-9CCA-745154530D86}"/>
                </c:ext>
              </c:extLst>
            </c:dLbl>
            <c:dLbl>
              <c:idx val="4"/>
              <c:layout>
                <c:manualLayout>
                  <c:x val="1.09769484083423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3F-47CA-9CCA-745154530D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Sheet1!$A$9:$A$13</c:f>
              <c:strCache>
                <c:ptCount val="5"/>
                <c:pt idx="0">
                  <c:v>Q1</c:v>
                </c:pt>
                <c:pt idx="1">
                  <c:v>Q2</c:v>
                </c:pt>
                <c:pt idx="2">
                  <c:v>Q3</c:v>
                </c:pt>
                <c:pt idx="3">
                  <c:v>Q4</c:v>
                </c:pt>
                <c:pt idx="4">
                  <c:v>Total </c:v>
                </c:pt>
              </c:strCache>
            </c:strRef>
          </c:cat>
          <c:val>
            <c:numRef>
              <c:f>Sheet1!$D$9:$D$13</c:f>
              <c:numCache>
                <c:formatCode>General</c:formatCode>
                <c:ptCount val="5"/>
                <c:pt idx="0">
                  <c:v>5385</c:v>
                </c:pt>
                <c:pt idx="1">
                  <c:v>6195</c:v>
                </c:pt>
                <c:pt idx="2">
                  <c:v>6067</c:v>
                </c:pt>
                <c:pt idx="3">
                  <c:v>4554</c:v>
                </c:pt>
                <c:pt idx="4">
                  <c:v>22201</c:v>
                </c:pt>
              </c:numCache>
            </c:numRef>
          </c:val>
          <c:extLst>
            <c:ext xmlns:c16="http://schemas.microsoft.com/office/drawing/2014/chart" uri="{C3380CC4-5D6E-409C-BE32-E72D297353CC}">
              <c16:uniqueId val="{00000006-A13F-47CA-9CCA-745154530D86}"/>
            </c:ext>
          </c:extLst>
        </c:ser>
        <c:dLbls>
          <c:showLegendKey val="0"/>
          <c:showVal val="0"/>
          <c:showCatName val="0"/>
          <c:showSerName val="0"/>
          <c:showPercent val="0"/>
          <c:showBubbleSize val="0"/>
        </c:dLbls>
        <c:gapWidth val="219"/>
        <c:overlap val="-27"/>
        <c:axId val="1521556896"/>
        <c:axId val="1521581360"/>
      </c:barChart>
      <c:catAx>
        <c:axId val="152155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581360"/>
        <c:crosses val="autoZero"/>
        <c:auto val="1"/>
        <c:lblAlgn val="ctr"/>
        <c:lblOffset val="100"/>
        <c:noMultiLvlLbl val="0"/>
      </c:catAx>
      <c:valAx>
        <c:axId val="152158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55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Top Reported OVR Categories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Sheet1!$B$40</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Sheet1!$A$41:$A$46</c:f>
              <c:strCache>
                <c:ptCount val="6"/>
                <c:pt idx="0">
                  <c:v>Medication</c:v>
                </c:pt>
                <c:pt idx="1">
                  <c:v>Patient Care Management</c:v>
                </c:pt>
                <c:pt idx="2">
                  <c:v>ID/Document</c:v>
                </c:pt>
                <c:pt idx="3">
                  <c:v>Staff related issues</c:v>
                </c:pt>
                <c:pt idx="4">
                  <c:v>Laboratory related</c:v>
                </c:pt>
                <c:pt idx="5">
                  <c:v>Facility Maintenance</c:v>
                </c:pt>
              </c:strCache>
            </c:strRef>
          </c:cat>
          <c:val>
            <c:numRef>
              <c:f>Sheet1!$B$41:$B$46</c:f>
              <c:numCache>
                <c:formatCode>General</c:formatCode>
                <c:ptCount val="6"/>
                <c:pt idx="0">
                  <c:v>15665</c:v>
                </c:pt>
                <c:pt idx="1">
                  <c:v>4564</c:v>
                </c:pt>
                <c:pt idx="2">
                  <c:v>1826</c:v>
                </c:pt>
                <c:pt idx="3">
                  <c:v>1495</c:v>
                </c:pt>
                <c:pt idx="4">
                  <c:v>0</c:v>
                </c:pt>
                <c:pt idx="5">
                  <c:v>1436</c:v>
                </c:pt>
              </c:numCache>
            </c:numRef>
          </c:val>
          <c:extLst>
            <c:ext xmlns:c16="http://schemas.microsoft.com/office/drawing/2014/chart" uri="{C3380CC4-5D6E-409C-BE32-E72D297353CC}">
              <c16:uniqueId val="{00000000-2BD3-4C0F-9B78-B1A6FAF08ECE}"/>
            </c:ext>
          </c:extLst>
        </c:ser>
        <c:ser>
          <c:idx val="1"/>
          <c:order val="1"/>
          <c:tx>
            <c:strRef>
              <c:f>Sheet1!$C$40</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Sheet1!$A$41:$A$46</c:f>
              <c:strCache>
                <c:ptCount val="6"/>
                <c:pt idx="0">
                  <c:v>Medication</c:v>
                </c:pt>
                <c:pt idx="1">
                  <c:v>Patient Care Management</c:v>
                </c:pt>
                <c:pt idx="2">
                  <c:v>ID/Document</c:v>
                </c:pt>
                <c:pt idx="3">
                  <c:v>Staff related issues</c:v>
                </c:pt>
                <c:pt idx="4">
                  <c:v>Laboratory related</c:v>
                </c:pt>
                <c:pt idx="5">
                  <c:v>Facility Maintenance</c:v>
                </c:pt>
              </c:strCache>
            </c:strRef>
          </c:cat>
          <c:val>
            <c:numRef>
              <c:f>Sheet1!$C$41:$C$46</c:f>
              <c:numCache>
                <c:formatCode>General</c:formatCode>
                <c:ptCount val="6"/>
                <c:pt idx="0">
                  <c:v>3895</c:v>
                </c:pt>
                <c:pt idx="1">
                  <c:v>489</c:v>
                </c:pt>
                <c:pt idx="2">
                  <c:v>218</c:v>
                </c:pt>
                <c:pt idx="3">
                  <c:v>343</c:v>
                </c:pt>
                <c:pt idx="4">
                  <c:v>202</c:v>
                </c:pt>
                <c:pt idx="5">
                  <c:v>0</c:v>
                </c:pt>
              </c:numCache>
            </c:numRef>
          </c:val>
          <c:extLst>
            <c:ext xmlns:c16="http://schemas.microsoft.com/office/drawing/2014/chart" uri="{C3380CC4-5D6E-409C-BE32-E72D297353CC}">
              <c16:uniqueId val="{00000001-2BD3-4C0F-9B78-B1A6FAF08ECE}"/>
            </c:ext>
          </c:extLst>
        </c:ser>
        <c:ser>
          <c:idx val="2"/>
          <c:order val="2"/>
          <c:tx>
            <c:strRef>
              <c:f>Sheet1!$D$40</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Sheet1!$A$41:$A$46</c:f>
              <c:strCache>
                <c:ptCount val="6"/>
                <c:pt idx="0">
                  <c:v>Medication</c:v>
                </c:pt>
                <c:pt idx="1">
                  <c:v>Patient Care Management</c:v>
                </c:pt>
                <c:pt idx="2">
                  <c:v>ID/Document</c:v>
                </c:pt>
                <c:pt idx="3">
                  <c:v>Staff related issues</c:v>
                </c:pt>
                <c:pt idx="4">
                  <c:v>Laboratory related</c:v>
                </c:pt>
                <c:pt idx="5">
                  <c:v>Facility Maintenance</c:v>
                </c:pt>
              </c:strCache>
            </c:strRef>
          </c:cat>
          <c:val>
            <c:numRef>
              <c:f>Sheet1!$D$41:$D$46</c:f>
              <c:numCache>
                <c:formatCode>General</c:formatCode>
                <c:ptCount val="6"/>
                <c:pt idx="0">
                  <c:v>12459</c:v>
                </c:pt>
                <c:pt idx="1">
                  <c:v>1562</c:v>
                </c:pt>
                <c:pt idx="2">
                  <c:v>700</c:v>
                </c:pt>
                <c:pt idx="3">
                  <c:v>1421</c:v>
                </c:pt>
                <c:pt idx="4">
                  <c:v>819</c:v>
                </c:pt>
                <c:pt idx="5">
                  <c:v>0</c:v>
                </c:pt>
              </c:numCache>
            </c:numRef>
          </c:val>
          <c:extLst>
            <c:ext xmlns:c16="http://schemas.microsoft.com/office/drawing/2014/chart" uri="{C3380CC4-5D6E-409C-BE32-E72D297353CC}">
              <c16:uniqueId val="{00000002-2BD3-4C0F-9B78-B1A6FAF08ECE}"/>
            </c:ext>
          </c:extLst>
        </c:ser>
        <c:dLbls>
          <c:dLblPos val="outEnd"/>
          <c:showLegendKey val="0"/>
          <c:showVal val="1"/>
          <c:showCatName val="0"/>
          <c:showSerName val="0"/>
          <c:showPercent val="0"/>
          <c:showBubbleSize val="0"/>
        </c:dLbls>
        <c:gapWidth val="219"/>
        <c:overlap val="-27"/>
        <c:axId val="22531455"/>
        <c:axId val="1514012496"/>
      </c:barChart>
      <c:catAx>
        <c:axId val="22531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012496"/>
        <c:crosses val="autoZero"/>
        <c:auto val="1"/>
        <c:lblAlgn val="ctr"/>
        <c:lblOffset val="100"/>
        <c:noMultiLvlLbl val="0"/>
      </c:catAx>
      <c:valAx>
        <c:axId val="151401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31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r>
              <a:rPr lang="en-US" sz="1200"/>
              <a:t>OVRs Per Hospital Per Quarter In 2021</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4122807017543858E-2"/>
          <c:y val="0.23866713675715909"/>
          <c:w val="0.97686278708362939"/>
          <c:h val="0.48409089050784537"/>
        </c:manualLayout>
      </c:layout>
      <c:barChart>
        <c:barDir val="col"/>
        <c:grouping val="clustered"/>
        <c:varyColors val="0"/>
        <c:ser>
          <c:idx val="0"/>
          <c:order val="0"/>
          <c:tx>
            <c:strRef>
              <c:f>Sheet1!$O$3</c:f>
              <c:strCache>
                <c:ptCount val="1"/>
                <c:pt idx="0">
                  <c:v>Q1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Sheet1!$N$4:$N$14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Sheet1!$O$4:$O$14</c:f>
              <c:numCache>
                <c:formatCode>General</c:formatCode>
                <c:ptCount val="11"/>
                <c:pt idx="0">
                  <c:v>565</c:v>
                </c:pt>
                <c:pt idx="1">
                  <c:v>988</c:v>
                </c:pt>
                <c:pt idx="2">
                  <c:v>888</c:v>
                </c:pt>
                <c:pt idx="3">
                  <c:v>1558</c:v>
                </c:pt>
                <c:pt idx="4">
                  <c:v>1471</c:v>
                </c:pt>
                <c:pt idx="5">
                  <c:v>1280</c:v>
                </c:pt>
                <c:pt idx="6">
                  <c:v>103</c:v>
                </c:pt>
                <c:pt idx="7">
                  <c:v>194</c:v>
                </c:pt>
                <c:pt idx="8">
                  <c:v>592</c:v>
                </c:pt>
                <c:pt idx="9">
                  <c:v>1243</c:v>
                </c:pt>
                <c:pt idx="10">
                  <c:v>8882</c:v>
                </c:pt>
              </c:numCache>
            </c:numRef>
          </c:val>
          <c:extLst>
            <c:ext xmlns:c16="http://schemas.microsoft.com/office/drawing/2014/chart" uri="{C3380CC4-5D6E-409C-BE32-E72D297353CC}">
              <c16:uniqueId val="{00000000-F609-4395-ADDF-E0C2E7DCC5E3}"/>
            </c:ext>
          </c:extLst>
        </c:ser>
        <c:ser>
          <c:idx val="1"/>
          <c:order val="1"/>
          <c:tx>
            <c:strRef>
              <c:f>Sheet1!$P$3</c:f>
              <c:strCache>
                <c:ptCount val="1"/>
                <c:pt idx="0">
                  <c:v>Q2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Sheet1!$N$4:$N$14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Sheet1!$P$4:$P$14</c:f>
              <c:numCache>
                <c:formatCode>General</c:formatCode>
                <c:ptCount val="11"/>
                <c:pt idx="0">
                  <c:v>540</c:v>
                </c:pt>
                <c:pt idx="1">
                  <c:v>728</c:v>
                </c:pt>
                <c:pt idx="2">
                  <c:v>1119</c:v>
                </c:pt>
                <c:pt idx="3">
                  <c:v>882</c:v>
                </c:pt>
                <c:pt idx="4">
                  <c:v>1188</c:v>
                </c:pt>
                <c:pt idx="5">
                  <c:v>941</c:v>
                </c:pt>
                <c:pt idx="6">
                  <c:v>114</c:v>
                </c:pt>
                <c:pt idx="7">
                  <c:v>168</c:v>
                </c:pt>
                <c:pt idx="8">
                  <c:v>529</c:v>
                </c:pt>
                <c:pt idx="9">
                  <c:v>1164</c:v>
                </c:pt>
                <c:pt idx="10">
                  <c:v>7373</c:v>
                </c:pt>
              </c:numCache>
            </c:numRef>
          </c:val>
          <c:extLst>
            <c:ext xmlns:c16="http://schemas.microsoft.com/office/drawing/2014/chart" uri="{C3380CC4-5D6E-409C-BE32-E72D297353CC}">
              <c16:uniqueId val="{00000001-F609-4395-ADDF-E0C2E7DCC5E3}"/>
            </c:ext>
          </c:extLst>
        </c:ser>
        <c:ser>
          <c:idx val="2"/>
          <c:order val="2"/>
          <c:tx>
            <c:strRef>
              <c:f>Sheet1!$Q$3</c:f>
              <c:strCache>
                <c:ptCount val="1"/>
                <c:pt idx="0">
                  <c:v>Q3</c:v>
                </c:pt>
              </c:strCache>
            </c:strRef>
          </c:tx>
          <c:spPr>
            <a:solidFill>
              <a:schemeClr val="accent3"/>
            </a:solidFill>
            <a:ln>
              <a:noFill/>
            </a:ln>
            <a:effectLst/>
          </c:spPr>
          <c:invertIfNegative val="0"/>
          <c:dLbls>
            <c:dLbl>
              <c:idx val="0"/>
              <c:tx>
                <c:rich>
                  <a:bodyPr/>
                  <a:lstStyle/>
                  <a:p>
                    <a:fld id="{61CE5A72-0F9C-1842-9E77-4800F7B9CDA1}" type="VALUE">
                      <a:rPr lang="en-US" sz="300"/>
                      <a:pPr/>
                      <a:t>[VALUE]</a:t>
                    </a:fld>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F609-4395-ADDF-E0C2E7DCC5E3}"/>
                </c:ext>
              </c:extLst>
            </c:dLbl>
            <c:dLbl>
              <c:idx val="1"/>
              <c:tx>
                <c:rich>
                  <a:bodyPr/>
                  <a:lstStyle/>
                  <a:p>
                    <a:fld id="{F248FC02-0BB8-354C-8137-544A678DCA37}" type="VALUE">
                      <a:rPr lang="en-US" sz="300"/>
                      <a:pPr/>
                      <a:t>[VALUE]</a:t>
                    </a:fld>
                    <a:endParaRPr lang="en-US"/>
                  </a:p>
                </c:rich>
              </c:tx>
              <c:dLblPos val="outEnd"/>
              <c:showLegendKey val="0"/>
              <c:showVal val="1"/>
              <c:showCatName val="0"/>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609-4395-ADDF-E0C2E7DCC5E3}"/>
                </c:ext>
              </c:extLst>
            </c:dLbl>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Sheet1!$N$4:$N$14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Sheet1!$Q$4:$Q$14</c:f>
              <c:numCache>
                <c:formatCode>General</c:formatCode>
                <c:ptCount val="11"/>
                <c:pt idx="0">
                  <c:v>495</c:v>
                </c:pt>
                <c:pt idx="1">
                  <c:v>903</c:v>
                </c:pt>
                <c:pt idx="2">
                  <c:v>1097</c:v>
                </c:pt>
                <c:pt idx="3">
                  <c:v>598</c:v>
                </c:pt>
                <c:pt idx="4">
                  <c:v>1323</c:v>
                </c:pt>
                <c:pt idx="5">
                  <c:v>1550</c:v>
                </c:pt>
                <c:pt idx="6">
                  <c:v>76</c:v>
                </c:pt>
                <c:pt idx="7">
                  <c:v>77</c:v>
                </c:pt>
                <c:pt idx="8">
                  <c:v>456</c:v>
                </c:pt>
                <c:pt idx="9">
                  <c:v>1282</c:v>
                </c:pt>
                <c:pt idx="10">
                  <c:v>7857</c:v>
                </c:pt>
              </c:numCache>
            </c:numRef>
          </c:val>
          <c:extLst>
            <c:ext xmlns:c16="http://schemas.microsoft.com/office/drawing/2014/chart" uri="{C3380CC4-5D6E-409C-BE32-E72D297353CC}">
              <c16:uniqueId val="{00000004-F609-4395-ADDF-E0C2E7DCC5E3}"/>
            </c:ext>
          </c:extLst>
        </c:ser>
        <c:ser>
          <c:idx val="3"/>
          <c:order val="3"/>
          <c:tx>
            <c:strRef>
              <c:f>Sheet1!$R$3</c:f>
              <c:strCache>
                <c:ptCount val="1"/>
                <c:pt idx="0">
                  <c:v>Q4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Sheet1!$N$4:$N$14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Sheet1!$R$4:$R$14</c:f>
              <c:numCache>
                <c:formatCode>General</c:formatCode>
                <c:ptCount val="11"/>
                <c:pt idx="0">
                  <c:v>543</c:v>
                </c:pt>
                <c:pt idx="1">
                  <c:v>1230</c:v>
                </c:pt>
                <c:pt idx="2">
                  <c:v>1801</c:v>
                </c:pt>
                <c:pt idx="3">
                  <c:v>966</c:v>
                </c:pt>
                <c:pt idx="4">
                  <c:v>1212</c:v>
                </c:pt>
                <c:pt idx="5">
                  <c:v>1400</c:v>
                </c:pt>
                <c:pt idx="6">
                  <c:v>116</c:v>
                </c:pt>
                <c:pt idx="7">
                  <c:v>224</c:v>
                </c:pt>
                <c:pt idx="8">
                  <c:v>543</c:v>
                </c:pt>
                <c:pt idx="9">
                  <c:v>1023</c:v>
                </c:pt>
                <c:pt idx="10">
                  <c:v>9058</c:v>
                </c:pt>
              </c:numCache>
            </c:numRef>
          </c:val>
          <c:extLst>
            <c:ext xmlns:c16="http://schemas.microsoft.com/office/drawing/2014/chart" uri="{C3380CC4-5D6E-409C-BE32-E72D297353CC}">
              <c16:uniqueId val="{00000005-F609-4395-ADDF-E0C2E7DCC5E3}"/>
            </c:ext>
          </c:extLst>
        </c:ser>
        <c:ser>
          <c:idx val="4"/>
          <c:order val="4"/>
          <c:tx>
            <c:strRef>
              <c:f>Sheet1!$S$3</c:f>
              <c:strCache>
                <c:ptCount val="1"/>
                <c:pt idx="0">
                  <c:v>No of Active Beds</c:v>
                </c:pt>
              </c:strCache>
            </c:strRef>
          </c:tx>
          <c:spPr>
            <a:solidFill>
              <a:schemeClr val="accent5"/>
            </a:solidFill>
            <a:ln>
              <a:noFill/>
            </a:ln>
            <a:effectLst/>
          </c:spPr>
          <c:invertIfNegative val="0"/>
          <c:dLbls>
            <c:dLbl>
              <c:idx val="0"/>
              <c:tx>
                <c:rich>
                  <a:bodyPr/>
                  <a:lstStyle/>
                  <a:p>
                    <a:fld id="{059B8513-8979-8F49-9B93-9819848DF076}"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609-4395-ADDF-E0C2E7DCC5E3}"/>
                </c:ext>
              </c:extLst>
            </c:dLbl>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Sheet1!$N$4:$N$14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Sheet1!$S$4:$S$14</c:f>
              <c:numCache>
                <c:formatCode>General</c:formatCode>
                <c:ptCount val="11"/>
                <c:pt idx="0">
                  <c:v>342</c:v>
                </c:pt>
                <c:pt idx="1">
                  <c:v>478</c:v>
                </c:pt>
                <c:pt idx="2">
                  <c:v>340</c:v>
                </c:pt>
                <c:pt idx="3">
                  <c:v>250</c:v>
                </c:pt>
                <c:pt idx="4">
                  <c:v>225</c:v>
                </c:pt>
                <c:pt idx="5">
                  <c:v>262</c:v>
                </c:pt>
                <c:pt idx="6">
                  <c:v>52</c:v>
                </c:pt>
                <c:pt idx="7">
                  <c:v>44</c:v>
                </c:pt>
                <c:pt idx="8">
                  <c:v>128</c:v>
                </c:pt>
                <c:pt idx="9">
                  <c:v>56</c:v>
                </c:pt>
              </c:numCache>
            </c:numRef>
          </c:val>
          <c:extLst>
            <c:ext xmlns:c16="http://schemas.microsoft.com/office/drawing/2014/chart" uri="{C3380CC4-5D6E-409C-BE32-E72D297353CC}">
              <c16:uniqueId val="{00000007-F609-4395-ADDF-E0C2E7DCC5E3}"/>
            </c:ext>
          </c:extLst>
        </c:ser>
        <c:ser>
          <c:idx val="5"/>
          <c:order val="5"/>
          <c:tx>
            <c:strRef>
              <c:f>Sheet1!$T$3</c:f>
              <c:strCache>
                <c:ptCount val="1"/>
                <c:pt idx="0">
                  <c:v>Total OVRs</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Sheet1!$N$4:$N$14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Sheet1!$T$4:$T$14</c:f>
              <c:numCache>
                <c:formatCode>General</c:formatCode>
                <c:ptCount val="11"/>
                <c:pt idx="0">
                  <c:v>2143</c:v>
                </c:pt>
                <c:pt idx="1">
                  <c:v>3849</c:v>
                </c:pt>
                <c:pt idx="2">
                  <c:v>4905</c:v>
                </c:pt>
                <c:pt idx="3">
                  <c:v>4004</c:v>
                </c:pt>
                <c:pt idx="4">
                  <c:v>5194</c:v>
                </c:pt>
                <c:pt idx="5">
                  <c:v>5171</c:v>
                </c:pt>
                <c:pt idx="6">
                  <c:v>409</c:v>
                </c:pt>
                <c:pt idx="7">
                  <c:v>663</c:v>
                </c:pt>
                <c:pt idx="8">
                  <c:v>2120</c:v>
                </c:pt>
                <c:pt idx="9">
                  <c:v>4712</c:v>
                </c:pt>
                <c:pt idx="10">
                  <c:v>33170</c:v>
                </c:pt>
              </c:numCache>
            </c:numRef>
          </c:val>
          <c:extLst>
            <c:ext xmlns:c16="http://schemas.microsoft.com/office/drawing/2014/chart" uri="{C3380CC4-5D6E-409C-BE32-E72D297353CC}">
              <c16:uniqueId val="{00000008-F609-4395-ADDF-E0C2E7DCC5E3}"/>
            </c:ext>
          </c:extLst>
        </c:ser>
        <c:dLbls>
          <c:dLblPos val="outEnd"/>
          <c:showLegendKey val="0"/>
          <c:showVal val="1"/>
          <c:showCatName val="0"/>
          <c:showSerName val="0"/>
          <c:showPercent val="0"/>
          <c:showBubbleSize val="0"/>
        </c:dLbls>
        <c:gapWidth val="444"/>
        <c:overlap val="-90"/>
        <c:axId val="669221760"/>
        <c:axId val="1522292960"/>
      </c:barChart>
      <c:catAx>
        <c:axId val="669221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n-US"/>
          </a:p>
        </c:txPr>
        <c:crossAx val="1522292960"/>
        <c:crosses val="autoZero"/>
        <c:auto val="1"/>
        <c:lblAlgn val="ctr"/>
        <c:lblOffset val="100"/>
        <c:noMultiLvlLbl val="0"/>
      </c:catAx>
      <c:valAx>
        <c:axId val="1522292960"/>
        <c:scaling>
          <c:orientation val="minMax"/>
        </c:scaling>
        <c:delete val="1"/>
        <c:axPos val="l"/>
        <c:numFmt formatCode="General" sourceLinked="1"/>
        <c:majorTickMark val="none"/>
        <c:minorTickMark val="none"/>
        <c:tickLblPos val="nextTo"/>
        <c:crossAx val="669221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6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sz="1200"/>
              <a:t>OVRs Per Hospital Per Quarter In 2022</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title>
    <c:autoTitleDeleted val="0"/>
    <c:plotArea>
      <c:layout/>
      <c:barChart>
        <c:barDir val="col"/>
        <c:grouping val="clustered"/>
        <c:varyColors val="0"/>
        <c:ser>
          <c:idx val="0"/>
          <c:order val="0"/>
          <c:tx>
            <c:strRef>
              <c:f>Sheet1!$O$23</c:f>
              <c:strCache>
                <c:ptCount val="1"/>
                <c:pt idx="0">
                  <c:v>Q1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Sheet1!$N$24:$N$34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Sheet1!$O$24:$O$34</c:f>
              <c:numCache>
                <c:formatCode>General</c:formatCode>
                <c:ptCount val="11"/>
                <c:pt idx="0">
                  <c:v>541</c:v>
                </c:pt>
                <c:pt idx="1">
                  <c:v>1259</c:v>
                </c:pt>
                <c:pt idx="2">
                  <c:v>1331</c:v>
                </c:pt>
                <c:pt idx="3">
                  <c:v>670</c:v>
                </c:pt>
                <c:pt idx="4">
                  <c:v>703</c:v>
                </c:pt>
                <c:pt idx="5">
                  <c:v>809</c:v>
                </c:pt>
                <c:pt idx="6">
                  <c:v>66</c:v>
                </c:pt>
                <c:pt idx="7">
                  <c:v>744</c:v>
                </c:pt>
                <c:pt idx="8">
                  <c:v>421</c:v>
                </c:pt>
                <c:pt idx="9">
                  <c:v>66</c:v>
                </c:pt>
                <c:pt idx="10">
                  <c:v>6610</c:v>
                </c:pt>
              </c:numCache>
            </c:numRef>
          </c:val>
          <c:extLst>
            <c:ext xmlns:c16="http://schemas.microsoft.com/office/drawing/2014/chart" uri="{C3380CC4-5D6E-409C-BE32-E72D297353CC}">
              <c16:uniqueId val="{00000000-BE7F-4C73-B649-9E8C3C3B4C51}"/>
            </c:ext>
          </c:extLst>
        </c:ser>
        <c:ser>
          <c:idx val="1"/>
          <c:order val="1"/>
          <c:tx>
            <c:strRef>
              <c:f>Sheet1!$P$23</c:f>
              <c:strCache>
                <c:ptCount val="1"/>
                <c:pt idx="0">
                  <c:v>Q2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Sheet1!$N$24:$N$34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Sheet1!$P$24:$P$34</c:f>
              <c:numCache>
                <c:formatCode>General</c:formatCode>
                <c:ptCount val="11"/>
                <c:pt idx="0">
                  <c:v>518</c:v>
                </c:pt>
                <c:pt idx="1">
                  <c:v>1333</c:v>
                </c:pt>
                <c:pt idx="2">
                  <c:v>846</c:v>
                </c:pt>
                <c:pt idx="3">
                  <c:v>463</c:v>
                </c:pt>
                <c:pt idx="4">
                  <c:v>718</c:v>
                </c:pt>
                <c:pt idx="5">
                  <c:v>1043</c:v>
                </c:pt>
                <c:pt idx="6">
                  <c:v>70</c:v>
                </c:pt>
                <c:pt idx="7">
                  <c:v>631</c:v>
                </c:pt>
                <c:pt idx="8">
                  <c:v>293</c:v>
                </c:pt>
                <c:pt idx="9">
                  <c:v>44</c:v>
                </c:pt>
                <c:pt idx="10">
                  <c:v>5959</c:v>
                </c:pt>
              </c:numCache>
            </c:numRef>
          </c:val>
          <c:extLst>
            <c:ext xmlns:c16="http://schemas.microsoft.com/office/drawing/2014/chart" uri="{C3380CC4-5D6E-409C-BE32-E72D297353CC}">
              <c16:uniqueId val="{00000001-BE7F-4C73-B649-9E8C3C3B4C51}"/>
            </c:ext>
          </c:extLst>
        </c:ser>
        <c:ser>
          <c:idx val="2"/>
          <c:order val="2"/>
          <c:tx>
            <c:strRef>
              <c:f>Sheet1!$Q$23</c:f>
              <c:strCache>
                <c:ptCount val="1"/>
                <c:pt idx="0">
                  <c:v>Q3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Sheet1!$N$24:$N$34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Sheet1!$Q$24:$Q$34</c:f>
              <c:numCache>
                <c:formatCode>General</c:formatCode>
                <c:ptCount val="11"/>
                <c:pt idx="0">
                  <c:v>533</c:v>
                </c:pt>
                <c:pt idx="1">
                  <c:v>1190</c:v>
                </c:pt>
                <c:pt idx="2">
                  <c:v>834</c:v>
                </c:pt>
                <c:pt idx="3">
                  <c:v>825</c:v>
                </c:pt>
                <c:pt idx="4">
                  <c:v>826</c:v>
                </c:pt>
                <c:pt idx="5">
                  <c:v>719</c:v>
                </c:pt>
                <c:pt idx="6">
                  <c:v>73</c:v>
                </c:pt>
                <c:pt idx="7">
                  <c:v>423</c:v>
                </c:pt>
                <c:pt idx="8">
                  <c:v>260</c:v>
                </c:pt>
                <c:pt idx="9">
                  <c:v>4</c:v>
                </c:pt>
                <c:pt idx="10">
                  <c:v>5687</c:v>
                </c:pt>
              </c:numCache>
            </c:numRef>
          </c:val>
          <c:extLst>
            <c:ext xmlns:c16="http://schemas.microsoft.com/office/drawing/2014/chart" uri="{C3380CC4-5D6E-409C-BE32-E72D297353CC}">
              <c16:uniqueId val="{00000002-BE7F-4C73-B649-9E8C3C3B4C51}"/>
            </c:ext>
          </c:extLst>
        </c:ser>
        <c:ser>
          <c:idx val="3"/>
          <c:order val="3"/>
          <c:tx>
            <c:strRef>
              <c:f>Sheet1!$R$23</c:f>
              <c:strCache>
                <c:ptCount val="1"/>
                <c:pt idx="0">
                  <c:v>Q4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Sheet1!$N$24:$N$34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Sheet1!$R$24:$R$34</c:f>
              <c:numCache>
                <c:formatCode>General</c:formatCode>
                <c:ptCount val="11"/>
                <c:pt idx="0">
                  <c:v>624</c:v>
                </c:pt>
                <c:pt idx="1">
                  <c:v>1325</c:v>
                </c:pt>
                <c:pt idx="2">
                  <c:v>772</c:v>
                </c:pt>
                <c:pt idx="3">
                  <c:v>1527</c:v>
                </c:pt>
                <c:pt idx="4">
                  <c:v>838</c:v>
                </c:pt>
                <c:pt idx="5">
                  <c:v>729</c:v>
                </c:pt>
                <c:pt idx="6">
                  <c:v>107</c:v>
                </c:pt>
                <c:pt idx="7">
                  <c:v>0</c:v>
                </c:pt>
                <c:pt idx="8">
                  <c:v>249</c:v>
                </c:pt>
                <c:pt idx="9">
                  <c:v>14</c:v>
                </c:pt>
                <c:pt idx="10">
                  <c:v>6185</c:v>
                </c:pt>
              </c:numCache>
            </c:numRef>
          </c:val>
          <c:extLst>
            <c:ext xmlns:c16="http://schemas.microsoft.com/office/drawing/2014/chart" uri="{C3380CC4-5D6E-409C-BE32-E72D297353CC}">
              <c16:uniqueId val="{00000003-BE7F-4C73-B649-9E8C3C3B4C51}"/>
            </c:ext>
          </c:extLst>
        </c:ser>
        <c:ser>
          <c:idx val="4"/>
          <c:order val="4"/>
          <c:tx>
            <c:strRef>
              <c:f>Sheet1!$S$23</c:f>
              <c:strCache>
                <c:ptCount val="1"/>
                <c:pt idx="0">
                  <c:v>No of Active Beds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Sheet1!$N$24:$N$34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Sheet1!$S$24:$S$34</c:f>
              <c:numCache>
                <c:formatCode>General</c:formatCode>
                <c:ptCount val="11"/>
                <c:pt idx="0">
                  <c:v>342</c:v>
                </c:pt>
                <c:pt idx="1">
                  <c:v>425</c:v>
                </c:pt>
                <c:pt idx="2">
                  <c:v>340</c:v>
                </c:pt>
                <c:pt idx="3">
                  <c:v>265</c:v>
                </c:pt>
                <c:pt idx="4">
                  <c:v>225</c:v>
                </c:pt>
                <c:pt idx="5">
                  <c:v>279</c:v>
                </c:pt>
                <c:pt idx="6">
                  <c:v>52</c:v>
                </c:pt>
                <c:pt idx="7">
                  <c:v>44</c:v>
                </c:pt>
                <c:pt idx="8">
                  <c:v>128</c:v>
                </c:pt>
                <c:pt idx="9">
                  <c:v>60</c:v>
                </c:pt>
              </c:numCache>
            </c:numRef>
          </c:val>
          <c:extLst>
            <c:ext xmlns:c16="http://schemas.microsoft.com/office/drawing/2014/chart" uri="{C3380CC4-5D6E-409C-BE32-E72D297353CC}">
              <c16:uniqueId val="{00000004-BE7F-4C73-B649-9E8C3C3B4C51}"/>
            </c:ext>
          </c:extLst>
        </c:ser>
        <c:ser>
          <c:idx val="5"/>
          <c:order val="5"/>
          <c:tx>
            <c:strRef>
              <c:f>Sheet1!$T$23</c:f>
              <c:strCache>
                <c:ptCount val="1"/>
                <c:pt idx="0">
                  <c:v>Total OVRs per hospital </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Sheet1!$N$24:$N$34</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Sheet1!$T$24:$T$34</c:f>
              <c:numCache>
                <c:formatCode>General</c:formatCode>
                <c:ptCount val="11"/>
                <c:pt idx="0">
                  <c:v>2189</c:v>
                </c:pt>
                <c:pt idx="1">
                  <c:v>5107</c:v>
                </c:pt>
                <c:pt idx="2">
                  <c:v>3783</c:v>
                </c:pt>
                <c:pt idx="3">
                  <c:v>3485</c:v>
                </c:pt>
                <c:pt idx="4">
                  <c:v>3085</c:v>
                </c:pt>
                <c:pt idx="5">
                  <c:v>3300</c:v>
                </c:pt>
                <c:pt idx="6">
                  <c:v>316</c:v>
                </c:pt>
                <c:pt idx="7">
                  <c:v>1798</c:v>
                </c:pt>
                <c:pt idx="8">
                  <c:v>1223</c:v>
                </c:pt>
                <c:pt idx="9">
                  <c:v>128</c:v>
                </c:pt>
                <c:pt idx="10">
                  <c:v>24414</c:v>
                </c:pt>
              </c:numCache>
            </c:numRef>
          </c:val>
          <c:extLst>
            <c:ext xmlns:c16="http://schemas.microsoft.com/office/drawing/2014/chart" uri="{C3380CC4-5D6E-409C-BE32-E72D297353CC}">
              <c16:uniqueId val="{00000005-BE7F-4C73-B649-9E8C3C3B4C51}"/>
            </c:ext>
          </c:extLst>
        </c:ser>
        <c:dLbls>
          <c:dLblPos val="outEnd"/>
          <c:showLegendKey val="0"/>
          <c:showVal val="1"/>
          <c:showCatName val="0"/>
          <c:showSerName val="0"/>
          <c:showPercent val="0"/>
          <c:showBubbleSize val="0"/>
        </c:dLbls>
        <c:gapWidth val="444"/>
        <c:overlap val="-90"/>
        <c:axId val="843606880"/>
        <c:axId val="1531110672"/>
      </c:barChart>
      <c:catAx>
        <c:axId val="8436068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1531110672"/>
        <c:crosses val="autoZero"/>
        <c:auto val="1"/>
        <c:lblAlgn val="ctr"/>
        <c:lblOffset val="100"/>
        <c:noMultiLvlLbl val="0"/>
      </c:catAx>
      <c:valAx>
        <c:axId val="1531110672"/>
        <c:scaling>
          <c:orientation val="minMax"/>
        </c:scaling>
        <c:delete val="1"/>
        <c:axPos val="l"/>
        <c:numFmt formatCode="General" sourceLinked="1"/>
        <c:majorTickMark val="none"/>
        <c:minorTickMark val="none"/>
        <c:tickLblPos val="nextTo"/>
        <c:crossAx val="8436068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600">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Arial" panose="020B0604020202020204" pitchFamily="34" charset="0"/>
              </a:defRPr>
            </a:pPr>
            <a:r>
              <a:rPr lang="en-US" sz="1200"/>
              <a:t>OVRs Per Hospital Per Quarter In 2023</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mn-lt"/>
              <a:ea typeface="+mn-ea"/>
              <a:cs typeface="Arial" panose="020B0604020202020204" pitchFamily="34" charset="0"/>
            </a:defRPr>
          </a:pPr>
          <a:endParaRPr lang="en-US"/>
        </a:p>
      </c:txPr>
    </c:title>
    <c:autoTitleDeleted val="0"/>
    <c:plotArea>
      <c:layout>
        <c:manualLayout>
          <c:layoutTarget val="inner"/>
          <c:xMode val="edge"/>
          <c:yMode val="edge"/>
          <c:x val="2.9333333333333333E-2"/>
          <c:y val="0.23883512652521488"/>
          <c:w val="0.94133333333333336"/>
          <c:h val="0.43871057148390802"/>
        </c:manualLayout>
      </c:layout>
      <c:barChart>
        <c:barDir val="col"/>
        <c:grouping val="clustered"/>
        <c:varyColors val="0"/>
        <c:ser>
          <c:idx val="0"/>
          <c:order val="0"/>
          <c:tx>
            <c:strRef>
              <c:f>Sheet1!$O$40</c:f>
              <c:strCache>
                <c:ptCount val="1"/>
                <c:pt idx="0">
                  <c:v>Q1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Sheet1!$N$41:$N$51</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Sheet1!$O$41:$O$51</c:f>
              <c:numCache>
                <c:formatCode>General</c:formatCode>
                <c:ptCount val="11"/>
                <c:pt idx="0">
                  <c:v>627</c:v>
                </c:pt>
                <c:pt idx="1">
                  <c:v>1213</c:v>
                </c:pt>
                <c:pt idx="2">
                  <c:v>768</c:v>
                </c:pt>
                <c:pt idx="3">
                  <c:v>679</c:v>
                </c:pt>
                <c:pt idx="4">
                  <c:v>798</c:v>
                </c:pt>
                <c:pt idx="5">
                  <c:v>617</c:v>
                </c:pt>
                <c:pt idx="6">
                  <c:v>85</c:v>
                </c:pt>
                <c:pt idx="7">
                  <c:v>106</c:v>
                </c:pt>
                <c:pt idx="8">
                  <c:v>178</c:v>
                </c:pt>
                <c:pt idx="9">
                  <c:v>17</c:v>
                </c:pt>
                <c:pt idx="10">
                  <c:v>5385</c:v>
                </c:pt>
              </c:numCache>
            </c:numRef>
          </c:val>
          <c:extLst>
            <c:ext xmlns:c16="http://schemas.microsoft.com/office/drawing/2014/chart" uri="{C3380CC4-5D6E-409C-BE32-E72D297353CC}">
              <c16:uniqueId val="{00000000-1522-4DC4-BC4E-2566CA6926DD}"/>
            </c:ext>
          </c:extLst>
        </c:ser>
        <c:ser>
          <c:idx val="1"/>
          <c:order val="1"/>
          <c:tx>
            <c:strRef>
              <c:f>Sheet1!$P$40</c:f>
              <c:strCache>
                <c:ptCount val="1"/>
                <c:pt idx="0">
                  <c:v>Q2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Sheet1!$N$41:$N$51</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Sheet1!$P$41:$P$51</c:f>
              <c:numCache>
                <c:formatCode>General</c:formatCode>
                <c:ptCount val="11"/>
                <c:pt idx="0">
                  <c:v>618</c:v>
                </c:pt>
                <c:pt idx="1">
                  <c:v>1404</c:v>
                </c:pt>
                <c:pt idx="2">
                  <c:v>776</c:v>
                </c:pt>
                <c:pt idx="3">
                  <c:v>1290</c:v>
                </c:pt>
                <c:pt idx="4">
                  <c:v>795</c:v>
                </c:pt>
                <c:pt idx="5">
                  <c:v>753</c:v>
                </c:pt>
                <c:pt idx="6">
                  <c:v>236</c:v>
                </c:pt>
                <c:pt idx="7">
                  <c:v>117</c:v>
                </c:pt>
                <c:pt idx="8">
                  <c:v>190</c:v>
                </c:pt>
                <c:pt idx="9">
                  <c:v>16</c:v>
                </c:pt>
                <c:pt idx="10">
                  <c:v>6195</c:v>
                </c:pt>
              </c:numCache>
            </c:numRef>
          </c:val>
          <c:extLst>
            <c:ext xmlns:c16="http://schemas.microsoft.com/office/drawing/2014/chart" uri="{C3380CC4-5D6E-409C-BE32-E72D297353CC}">
              <c16:uniqueId val="{00000001-1522-4DC4-BC4E-2566CA6926DD}"/>
            </c:ext>
          </c:extLst>
        </c:ser>
        <c:ser>
          <c:idx val="2"/>
          <c:order val="2"/>
          <c:tx>
            <c:strRef>
              <c:f>Sheet1!$Q$40</c:f>
              <c:strCache>
                <c:ptCount val="1"/>
                <c:pt idx="0">
                  <c:v>Q3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Sheet1!$N$41:$N$51</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Sheet1!$Q$41:$Q$51</c:f>
              <c:numCache>
                <c:formatCode>General</c:formatCode>
                <c:ptCount val="11"/>
                <c:pt idx="0">
                  <c:v>750</c:v>
                </c:pt>
                <c:pt idx="1">
                  <c:v>1249</c:v>
                </c:pt>
                <c:pt idx="2">
                  <c:v>805</c:v>
                </c:pt>
                <c:pt idx="3">
                  <c:v>1314</c:v>
                </c:pt>
                <c:pt idx="4">
                  <c:v>782</c:v>
                </c:pt>
                <c:pt idx="5">
                  <c:v>754</c:v>
                </c:pt>
                <c:pt idx="6">
                  <c:v>63</c:v>
                </c:pt>
                <c:pt idx="7">
                  <c:v>149</c:v>
                </c:pt>
                <c:pt idx="8">
                  <c:v>185</c:v>
                </c:pt>
                <c:pt idx="9">
                  <c:v>16</c:v>
                </c:pt>
                <c:pt idx="10">
                  <c:v>6067</c:v>
                </c:pt>
              </c:numCache>
            </c:numRef>
          </c:val>
          <c:extLst>
            <c:ext xmlns:c16="http://schemas.microsoft.com/office/drawing/2014/chart" uri="{C3380CC4-5D6E-409C-BE32-E72D297353CC}">
              <c16:uniqueId val="{00000002-1522-4DC4-BC4E-2566CA6926DD}"/>
            </c:ext>
          </c:extLst>
        </c:ser>
        <c:ser>
          <c:idx val="3"/>
          <c:order val="3"/>
          <c:tx>
            <c:strRef>
              <c:f>Sheet1!$R$40</c:f>
              <c:strCache>
                <c:ptCount val="1"/>
                <c:pt idx="0">
                  <c:v>Q4</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Sheet1!$N$41:$N$51</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Sheet1!$R$41:$R$51</c:f>
              <c:numCache>
                <c:formatCode>General</c:formatCode>
                <c:ptCount val="11"/>
                <c:pt idx="0">
                  <c:v>639</c:v>
                </c:pt>
                <c:pt idx="1">
                  <c:v>525</c:v>
                </c:pt>
                <c:pt idx="2">
                  <c:v>316</c:v>
                </c:pt>
                <c:pt idx="3">
                  <c:v>1031</c:v>
                </c:pt>
                <c:pt idx="4">
                  <c:v>704</c:v>
                </c:pt>
                <c:pt idx="5">
                  <c:v>935</c:v>
                </c:pt>
                <c:pt idx="6">
                  <c:v>93</c:v>
                </c:pt>
                <c:pt idx="7">
                  <c:v>88</c:v>
                </c:pt>
                <c:pt idx="8">
                  <c:v>188</c:v>
                </c:pt>
                <c:pt idx="9">
                  <c:v>35</c:v>
                </c:pt>
                <c:pt idx="10">
                  <c:v>4554</c:v>
                </c:pt>
              </c:numCache>
            </c:numRef>
          </c:val>
          <c:extLst>
            <c:ext xmlns:c16="http://schemas.microsoft.com/office/drawing/2014/chart" uri="{C3380CC4-5D6E-409C-BE32-E72D297353CC}">
              <c16:uniqueId val="{00000003-1522-4DC4-BC4E-2566CA6926DD}"/>
            </c:ext>
          </c:extLst>
        </c:ser>
        <c:ser>
          <c:idx val="4"/>
          <c:order val="4"/>
          <c:tx>
            <c:strRef>
              <c:f>Sheet1!$S$40</c:f>
              <c:strCache>
                <c:ptCount val="1"/>
                <c:pt idx="0">
                  <c:v>No of Active Beds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Sheet1!$N$41:$N$51</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Sheet1!$S$41:$S$51</c:f>
              <c:numCache>
                <c:formatCode>General</c:formatCode>
                <c:ptCount val="11"/>
                <c:pt idx="0">
                  <c:v>458</c:v>
                </c:pt>
                <c:pt idx="1">
                  <c:v>426</c:v>
                </c:pt>
                <c:pt idx="2">
                  <c:v>340</c:v>
                </c:pt>
                <c:pt idx="3">
                  <c:v>259</c:v>
                </c:pt>
                <c:pt idx="4">
                  <c:v>225</c:v>
                </c:pt>
                <c:pt idx="5">
                  <c:v>279</c:v>
                </c:pt>
                <c:pt idx="6">
                  <c:v>52</c:v>
                </c:pt>
                <c:pt idx="7">
                  <c:v>50</c:v>
                </c:pt>
                <c:pt idx="8">
                  <c:v>128</c:v>
                </c:pt>
                <c:pt idx="9">
                  <c:v>84</c:v>
                </c:pt>
              </c:numCache>
            </c:numRef>
          </c:val>
          <c:extLst>
            <c:ext xmlns:c16="http://schemas.microsoft.com/office/drawing/2014/chart" uri="{C3380CC4-5D6E-409C-BE32-E72D297353CC}">
              <c16:uniqueId val="{00000004-1522-4DC4-BC4E-2566CA6926DD}"/>
            </c:ext>
          </c:extLst>
        </c:ser>
        <c:ser>
          <c:idx val="5"/>
          <c:order val="5"/>
          <c:tx>
            <c:strRef>
              <c:f>Sheet1!$T$40</c:f>
              <c:strCache>
                <c:ptCount val="1"/>
                <c:pt idx="0">
                  <c:v>Total OVRs per hospital </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600" b="0" i="0" u="none" strike="noStrike" kern="1200" baseline="0">
                    <a:solidFill>
                      <a:schemeClr val="tx1">
                        <a:lumMod val="50000"/>
                        <a:lumOff val="50000"/>
                      </a:schemeClr>
                    </a:solidFill>
                    <a:latin typeface="+mn-lt"/>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Sheet1!$N$41:$N$51</c:f>
              <c:strCache>
                <c:ptCount val="11"/>
                <c:pt idx="0">
                  <c:v>KAMC</c:v>
                </c:pt>
                <c:pt idx="1">
                  <c:v>NSH</c:v>
                </c:pt>
                <c:pt idx="2">
                  <c:v>MCH</c:v>
                </c:pt>
                <c:pt idx="3">
                  <c:v>KAAH</c:v>
                </c:pt>
                <c:pt idx="4">
                  <c:v>KFH</c:v>
                </c:pt>
                <c:pt idx="5">
                  <c:v>HGH</c:v>
                </c:pt>
                <c:pt idx="6">
                  <c:v>AEH</c:v>
                </c:pt>
                <c:pt idx="7">
                  <c:v>AKH</c:v>
                </c:pt>
                <c:pt idx="8">
                  <c:v>ISH</c:v>
                </c:pt>
                <c:pt idx="9">
                  <c:v>KGH</c:v>
                </c:pt>
                <c:pt idx="10">
                  <c:v>Total OVRs per Quarter</c:v>
                </c:pt>
              </c:strCache>
            </c:strRef>
          </c:cat>
          <c:val>
            <c:numRef>
              <c:f>Sheet1!$T$41:$T$51</c:f>
              <c:numCache>
                <c:formatCode>General</c:formatCode>
                <c:ptCount val="11"/>
                <c:pt idx="0">
                  <c:v>2634</c:v>
                </c:pt>
                <c:pt idx="1">
                  <c:v>4391</c:v>
                </c:pt>
                <c:pt idx="2">
                  <c:v>2665</c:v>
                </c:pt>
                <c:pt idx="3">
                  <c:v>4611</c:v>
                </c:pt>
                <c:pt idx="4">
                  <c:v>3079</c:v>
                </c:pt>
                <c:pt idx="5">
                  <c:v>3059</c:v>
                </c:pt>
                <c:pt idx="6">
                  <c:v>477</c:v>
                </c:pt>
                <c:pt idx="7">
                  <c:v>460</c:v>
                </c:pt>
                <c:pt idx="8">
                  <c:v>741</c:v>
                </c:pt>
                <c:pt idx="9">
                  <c:v>61</c:v>
                </c:pt>
                <c:pt idx="10">
                  <c:v>22201</c:v>
                </c:pt>
              </c:numCache>
            </c:numRef>
          </c:val>
          <c:extLst>
            <c:ext xmlns:c16="http://schemas.microsoft.com/office/drawing/2014/chart" uri="{C3380CC4-5D6E-409C-BE32-E72D297353CC}">
              <c16:uniqueId val="{00000005-1522-4DC4-BC4E-2566CA6926DD}"/>
            </c:ext>
          </c:extLst>
        </c:ser>
        <c:dLbls>
          <c:dLblPos val="outEnd"/>
          <c:showLegendKey val="0"/>
          <c:showVal val="1"/>
          <c:showCatName val="0"/>
          <c:showSerName val="0"/>
          <c:showPercent val="0"/>
          <c:showBubbleSize val="0"/>
        </c:dLbls>
        <c:gapWidth val="444"/>
        <c:overlap val="-90"/>
        <c:axId val="1580591056"/>
        <c:axId val="669034592"/>
      </c:barChart>
      <c:catAx>
        <c:axId val="1580591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Arial" panose="020B0604020202020204" pitchFamily="34" charset="0"/>
              </a:defRPr>
            </a:pPr>
            <a:endParaRPr lang="en-US"/>
          </a:p>
        </c:txPr>
        <c:crossAx val="669034592"/>
        <c:crosses val="autoZero"/>
        <c:auto val="1"/>
        <c:lblAlgn val="ctr"/>
        <c:lblOffset val="100"/>
        <c:noMultiLvlLbl val="0"/>
      </c:catAx>
      <c:valAx>
        <c:axId val="669034592"/>
        <c:scaling>
          <c:orientation val="minMax"/>
        </c:scaling>
        <c:delete val="1"/>
        <c:axPos val="l"/>
        <c:numFmt formatCode="General" sourceLinked="1"/>
        <c:majorTickMark val="none"/>
        <c:minorTickMark val="none"/>
        <c:tickLblPos val="nextTo"/>
        <c:crossAx val="1580591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600">
          <a:latin typeface="+mn-lt"/>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OVRs Numbers by Category of Harm Level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Sheet1!$B$61</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Sheet1!$A$62:$A$66</c:f>
              <c:strCache>
                <c:ptCount val="5"/>
                <c:pt idx="0">
                  <c:v>None </c:v>
                </c:pt>
                <c:pt idx="1">
                  <c:v>Minor </c:v>
                </c:pt>
                <c:pt idx="2">
                  <c:v>Moderate </c:v>
                </c:pt>
                <c:pt idx="3">
                  <c:v>Major</c:v>
                </c:pt>
                <c:pt idx="4">
                  <c:v>Castatrophic</c:v>
                </c:pt>
              </c:strCache>
            </c:strRef>
          </c:cat>
          <c:val>
            <c:numRef>
              <c:f>Sheet1!$B$62:$B$66</c:f>
              <c:numCache>
                <c:formatCode>General</c:formatCode>
                <c:ptCount val="5"/>
                <c:pt idx="0">
                  <c:v>21702</c:v>
                </c:pt>
                <c:pt idx="1">
                  <c:v>704</c:v>
                </c:pt>
                <c:pt idx="2">
                  <c:v>181</c:v>
                </c:pt>
                <c:pt idx="3">
                  <c:v>5</c:v>
                </c:pt>
                <c:pt idx="4">
                  <c:v>2</c:v>
                </c:pt>
              </c:numCache>
            </c:numRef>
          </c:val>
          <c:extLst>
            <c:ext xmlns:c16="http://schemas.microsoft.com/office/drawing/2014/chart" uri="{C3380CC4-5D6E-409C-BE32-E72D297353CC}">
              <c16:uniqueId val="{00000000-4661-4F11-8B17-93292DCB13DE}"/>
            </c:ext>
          </c:extLst>
        </c:ser>
        <c:ser>
          <c:idx val="1"/>
          <c:order val="1"/>
          <c:tx>
            <c:strRef>
              <c:f>Sheet1!$C$61</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Sheet1!$A$62:$A$66</c:f>
              <c:strCache>
                <c:ptCount val="5"/>
                <c:pt idx="0">
                  <c:v>None </c:v>
                </c:pt>
                <c:pt idx="1">
                  <c:v>Minor </c:v>
                </c:pt>
                <c:pt idx="2">
                  <c:v>Moderate </c:v>
                </c:pt>
                <c:pt idx="3">
                  <c:v>Major</c:v>
                </c:pt>
                <c:pt idx="4">
                  <c:v>Castatrophic</c:v>
                </c:pt>
              </c:strCache>
            </c:strRef>
          </c:cat>
          <c:val>
            <c:numRef>
              <c:f>Sheet1!$C$62:$C$66</c:f>
              <c:numCache>
                <c:formatCode>General</c:formatCode>
                <c:ptCount val="5"/>
                <c:pt idx="0">
                  <c:v>1811</c:v>
                </c:pt>
                <c:pt idx="1">
                  <c:v>99</c:v>
                </c:pt>
                <c:pt idx="2">
                  <c:v>50</c:v>
                </c:pt>
                <c:pt idx="3">
                  <c:v>2</c:v>
                </c:pt>
                <c:pt idx="4">
                  <c:v>1</c:v>
                </c:pt>
              </c:numCache>
            </c:numRef>
          </c:val>
          <c:extLst>
            <c:ext xmlns:c16="http://schemas.microsoft.com/office/drawing/2014/chart" uri="{C3380CC4-5D6E-409C-BE32-E72D297353CC}">
              <c16:uniqueId val="{00000001-4661-4F11-8B17-93292DCB13DE}"/>
            </c:ext>
          </c:extLst>
        </c:ser>
        <c:ser>
          <c:idx val="2"/>
          <c:order val="2"/>
          <c:tx>
            <c:strRef>
              <c:f>Sheet1!$D$61</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Sheet1!$A$62:$A$66</c:f>
              <c:strCache>
                <c:ptCount val="5"/>
                <c:pt idx="0">
                  <c:v>None </c:v>
                </c:pt>
                <c:pt idx="1">
                  <c:v>Minor </c:v>
                </c:pt>
                <c:pt idx="2">
                  <c:v>Moderate </c:v>
                </c:pt>
                <c:pt idx="3">
                  <c:v>Major</c:v>
                </c:pt>
                <c:pt idx="4">
                  <c:v>Castatrophic</c:v>
                </c:pt>
              </c:strCache>
            </c:strRef>
          </c:cat>
          <c:val>
            <c:numRef>
              <c:f>Sheet1!$D$62:$D$66</c:f>
              <c:numCache>
                <c:formatCode>General</c:formatCode>
                <c:ptCount val="5"/>
                <c:pt idx="0">
                  <c:v>6350</c:v>
                </c:pt>
                <c:pt idx="1">
                  <c:v>2393</c:v>
                </c:pt>
                <c:pt idx="2">
                  <c:v>472</c:v>
                </c:pt>
                <c:pt idx="3">
                  <c:v>240</c:v>
                </c:pt>
                <c:pt idx="4">
                  <c:v>26</c:v>
                </c:pt>
              </c:numCache>
            </c:numRef>
          </c:val>
          <c:extLst>
            <c:ext xmlns:c16="http://schemas.microsoft.com/office/drawing/2014/chart" uri="{C3380CC4-5D6E-409C-BE32-E72D297353CC}">
              <c16:uniqueId val="{00000002-4661-4F11-8B17-93292DCB13DE}"/>
            </c:ext>
          </c:extLst>
        </c:ser>
        <c:dLbls>
          <c:showLegendKey val="0"/>
          <c:showVal val="0"/>
          <c:showCatName val="0"/>
          <c:showSerName val="0"/>
          <c:showPercent val="0"/>
          <c:showBubbleSize val="0"/>
        </c:dLbls>
        <c:gapWidth val="182"/>
        <c:axId val="604342096"/>
        <c:axId val="604343808"/>
      </c:barChart>
      <c:catAx>
        <c:axId val="604342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343808"/>
        <c:crosses val="autoZero"/>
        <c:auto val="1"/>
        <c:lblAlgn val="ctr"/>
        <c:lblOffset val="100"/>
        <c:noMultiLvlLbl val="0"/>
      </c:catAx>
      <c:valAx>
        <c:axId val="6043438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34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Lessons Learned Shared with Staff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Sheet1!$Q$62</c:f>
              <c:strCache>
                <c:ptCount val="1"/>
                <c:pt idx="0">
                  <c:v>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Sheet1!$P$63:$P$66</c:f>
              <c:strCache>
                <c:ptCount val="4"/>
                <c:pt idx="0">
                  <c:v>Alerts </c:v>
                </c:pt>
                <c:pt idx="1">
                  <c:v>Persenations </c:v>
                </c:pt>
                <c:pt idx="2">
                  <c:v>Meetings </c:v>
                </c:pt>
                <c:pt idx="3">
                  <c:v>Newsletters</c:v>
                </c:pt>
              </c:strCache>
            </c:strRef>
          </c:cat>
          <c:val>
            <c:numRef>
              <c:f>Sheet1!$Q$63:$Q$66</c:f>
              <c:numCache>
                <c:formatCode>General</c:formatCode>
                <c:ptCount val="4"/>
                <c:pt idx="0">
                  <c:v>2416</c:v>
                </c:pt>
                <c:pt idx="1">
                  <c:v>103</c:v>
                </c:pt>
                <c:pt idx="2">
                  <c:v>251</c:v>
                </c:pt>
                <c:pt idx="3">
                  <c:v>47</c:v>
                </c:pt>
              </c:numCache>
            </c:numRef>
          </c:val>
          <c:extLst>
            <c:ext xmlns:c16="http://schemas.microsoft.com/office/drawing/2014/chart" uri="{C3380CC4-5D6E-409C-BE32-E72D297353CC}">
              <c16:uniqueId val="{00000000-374E-489F-AF85-C8E057C93DCA}"/>
            </c:ext>
          </c:extLst>
        </c:ser>
        <c:ser>
          <c:idx val="1"/>
          <c:order val="1"/>
          <c:tx>
            <c:strRef>
              <c:f>Sheet1!$R$62</c:f>
              <c:strCache>
                <c:ptCount val="1"/>
                <c:pt idx="0">
                  <c:v>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Sheet1!$P$63:$P$66</c:f>
              <c:strCache>
                <c:ptCount val="4"/>
                <c:pt idx="0">
                  <c:v>Alerts </c:v>
                </c:pt>
                <c:pt idx="1">
                  <c:v>Persenations </c:v>
                </c:pt>
                <c:pt idx="2">
                  <c:v>Meetings </c:v>
                </c:pt>
                <c:pt idx="3">
                  <c:v>Newsletters</c:v>
                </c:pt>
              </c:strCache>
            </c:strRef>
          </c:cat>
          <c:val>
            <c:numRef>
              <c:f>Sheet1!$R$63:$R$66</c:f>
              <c:numCache>
                <c:formatCode>General</c:formatCode>
                <c:ptCount val="4"/>
                <c:pt idx="0">
                  <c:v>1911</c:v>
                </c:pt>
                <c:pt idx="1">
                  <c:v>20</c:v>
                </c:pt>
                <c:pt idx="2">
                  <c:v>43</c:v>
                </c:pt>
                <c:pt idx="3">
                  <c:v>1</c:v>
                </c:pt>
              </c:numCache>
            </c:numRef>
          </c:val>
          <c:extLst>
            <c:ext xmlns:c16="http://schemas.microsoft.com/office/drawing/2014/chart" uri="{C3380CC4-5D6E-409C-BE32-E72D297353CC}">
              <c16:uniqueId val="{00000001-374E-489F-AF85-C8E057C93DCA}"/>
            </c:ext>
          </c:extLst>
        </c:ser>
        <c:ser>
          <c:idx val="2"/>
          <c:order val="2"/>
          <c:tx>
            <c:strRef>
              <c:f>Sheet1!$S$62</c:f>
              <c:strCache>
                <c:ptCount val="1"/>
                <c:pt idx="0">
                  <c:v>2023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Sheet1!$P$63:$P$66</c:f>
              <c:strCache>
                <c:ptCount val="4"/>
                <c:pt idx="0">
                  <c:v>Alerts </c:v>
                </c:pt>
                <c:pt idx="1">
                  <c:v>Persenations </c:v>
                </c:pt>
                <c:pt idx="2">
                  <c:v>Meetings </c:v>
                </c:pt>
                <c:pt idx="3">
                  <c:v>Newsletters</c:v>
                </c:pt>
              </c:strCache>
            </c:strRef>
          </c:cat>
          <c:val>
            <c:numRef>
              <c:f>Sheet1!$S$63:$S$66</c:f>
              <c:numCache>
                <c:formatCode>General</c:formatCode>
                <c:ptCount val="4"/>
                <c:pt idx="0">
                  <c:v>500</c:v>
                </c:pt>
                <c:pt idx="1">
                  <c:v>46</c:v>
                </c:pt>
                <c:pt idx="2">
                  <c:v>76</c:v>
                </c:pt>
                <c:pt idx="3">
                  <c:v>4</c:v>
                </c:pt>
              </c:numCache>
            </c:numRef>
          </c:val>
          <c:extLst>
            <c:ext xmlns:c16="http://schemas.microsoft.com/office/drawing/2014/chart" uri="{C3380CC4-5D6E-409C-BE32-E72D297353CC}">
              <c16:uniqueId val="{00000002-374E-489F-AF85-C8E057C93DCA}"/>
            </c:ext>
          </c:extLst>
        </c:ser>
        <c:dLbls>
          <c:dLblPos val="outEnd"/>
          <c:showLegendKey val="0"/>
          <c:showVal val="1"/>
          <c:showCatName val="0"/>
          <c:showSerName val="0"/>
          <c:showPercent val="0"/>
          <c:showBubbleSize val="0"/>
        </c:dLbls>
        <c:gapWidth val="219"/>
        <c:overlap val="-27"/>
        <c:axId val="881647007"/>
        <c:axId val="24927455"/>
      </c:barChart>
      <c:catAx>
        <c:axId val="88164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27455"/>
        <c:crosses val="autoZero"/>
        <c:auto val="1"/>
        <c:lblAlgn val="ctr"/>
        <c:lblOffset val="100"/>
        <c:noMultiLvlLbl val="0"/>
      </c:catAx>
      <c:valAx>
        <c:axId val="24927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1647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2275D-EB91-452D-9F0D-C15CF19A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10764</Words>
  <Characters>61355</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Bushra Fahim</dc:creator>
  <cp:keywords/>
  <dc:description/>
  <cp:lastModifiedBy>AMAN DHINGRA</cp:lastModifiedBy>
  <cp:revision>23</cp:revision>
  <cp:lastPrinted>2025-11-04T13:48:00Z</cp:lastPrinted>
  <dcterms:created xsi:type="dcterms:W3CDTF">2025-07-23T07:27:00Z</dcterms:created>
  <dcterms:modified xsi:type="dcterms:W3CDTF">2025-11-04T13:48:00Z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70e75321-f321-45ee-b6a6-2b0281f742ab</vt:lpwstr>
  </property>
</Properties>
</file>