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D3BA3" w14:textId="1BBCE3C7" w:rsidR="00473AF0" w:rsidRDefault="00473AF0" w:rsidP="00473AF0">
      <w:pPr>
        <w:spacing w:after="0" w:line="240" w:lineRule="auto"/>
        <w:jc w:val="center"/>
        <w:rPr>
          <w:rFonts w:ascii="Georgia" w:hAnsi="Georgia" w:cs="Times New Roman"/>
          <w:b/>
          <w:bCs/>
          <w:sz w:val="36"/>
          <w:szCs w:val="36"/>
        </w:rPr>
      </w:pPr>
      <w:r>
        <w:rPr>
          <w:noProof/>
        </w:rPr>
        <mc:AlternateContent>
          <mc:Choice Requires="wps">
            <w:drawing>
              <wp:anchor distT="0" distB="0" distL="0" distR="0" simplePos="0" relativeHeight="251664384" behindDoc="0" locked="0" layoutInCell="1" allowOverlap="1" wp14:anchorId="387B1100" wp14:editId="78F0AF40">
                <wp:simplePos x="0" y="0"/>
                <wp:positionH relativeFrom="page">
                  <wp:posOffset>556260</wp:posOffset>
                </wp:positionH>
                <wp:positionV relativeFrom="page">
                  <wp:posOffset>442595</wp:posOffset>
                </wp:positionV>
                <wp:extent cx="226695" cy="3456940"/>
                <wp:effectExtent l="0" t="0" r="1905" b="0"/>
                <wp:wrapNone/>
                <wp:docPr id="766801196"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95" cy="3456940"/>
                        </a:xfrm>
                        <a:custGeom>
                          <a:avLst/>
                          <a:gdLst/>
                          <a:ahLst/>
                          <a:cxnLst/>
                          <a:rect l="l" t="t" r="r" b="b"/>
                          <a:pathLst>
                            <a:path w="188595" h="3456940">
                              <a:moveTo>
                                <a:pt x="188468" y="0"/>
                              </a:moveTo>
                              <a:lnTo>
                                <a:pt x="0" y="0"/>
                              </a:lnTo>
                              <a:lnTo>
                                <a:pt x="0" y="3456431"/>
                              </a:lnTo>
                              <a:lnTo>
                                <a:pt x="188468" y="3456431"/>
                              </a:lnTo>
                              <a:lnTo>
                                <a:pt x="188468" y="0"/>
                              </a:lnTo>
                              <a:close/>
                            </a:path>
                          </a:pathLst>
                        </a:custGeom>
                        <a:solidFill>
                          <a:srgbClr val="D00D0D"/>
                        </a:solidFill>
                      </wps:spPr>
                      <wps:txbx>
                        <w:txbxContent>
                          <w:p w14:paraId="60CEFE49" w14:textId="77777777" w:rsidR="00473AF0" w:rsidRDefault="00473AF0" w:rsidP="00473AF0">
                            <w:pPr>
                              <w:jc w:val="center"/>
                            </w:pPr>
                            <w:r w:rsidRPr="00B13AAB">
                              <w:rPr>
                                <w:noProof/>
                              </w:rPr>
                              <w:drawing>
                                <wp:inline distT="0" distB="0" distL="0" distR="0" wp14:anchorId="558EF400" wp14:editId="68338687">
                                  <wp:extent cx="139700" cy="3219450"/>
                                  <wp:effectExtent l="0" t="0" r="0" b="0"/>
                                  <wp:docPr id="8895909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3219450"/>
                                          </a:xfrm>
                                          <a:prstGeom prst="rect">
                                            <a:avLst/>
                                          </a:prstGeom>
                                          <a:noFill/>
                                          <a:ln>
                                            <a:noFill/>
                                          </a:ln>
                                        </pic:spPr>
                                      </pic:pic>
                                    </a:graphicData>
                                  </a:graphic>
                                </wp:inline>
                              </w:drawing>
                            </w:r>
                          </w:p>
                        </w:txbxContent>
                      </wps:txbx>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87B1100" id="Graphic 9" o:spid="_x0000_s1026" style="position:absolute;left:0;text-align:left;margin-left:43.8pt;margin-top:34.85pt;width:17.85pt;height:272.2pt;z-index:2516643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188595,34569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dBMgIAAM8EAAAOAAAAZHJzL2Uyb0RvYy54bWysVMFu2zAMvQ/YPwi6L3bSJEiNOMXQoMOA&#10;oivQFDvLshwbk0VNUmLn70fJkWNspw272JT5RD4+kt4+9K0kZ2FsAyqn81lKiVAcykYdc/p+ePq0&#10;ocQ6pkomQYmcXoSlD7uPH7adzsQCapClMASDKJt1Oqe1czpLEstr0TI7Ay0UOiswLXN4NMekNKzD&#10;6K1MFmm6TjowpTbAhbX4dT846S7EryrB3beqssIRmVPk5sLThGfhn8luy7KjYbpu+JUG+wcWLWsU&#10;Jh1D7Zlj5GSaP0K1DTdgoXIzDm0CVdVwEWrAaubpb9W81UyLUAuKY/Uok/1/YfnL+U2/Gk/d6mfg&#10;PywqknTaZqPHH+wV01em9VgkTvqg4mVUUfSOcPy4WKzX9ytKOLrulqv1/TLInLAs3uYn674ICJHY&#10;+dm6oQtltFgdLd6raBrspe+iDF10lGAXDSXYxWLoombO3/P0vEk6nMfNZuWp1Dcm3t3CWRwgAJ0v&#10;A2HLNQ5qrAWp3iBSTaE4QxNU9MW3DuEGjC99eTf33DBeRMT3gJwk/kt4lDTG4xKsGFL54kPOURDM&#10;P5XcgmzKp0ZKr4A1x+JRGnJmqO0+Tffp/kp5AgsDMcyAnwbXFz3m8mYB5eXVkA43KKf254kZQYn8&#10;qnBE/bpFw0SjiIZx8hHCUoY+GOsO/XdmNNFo5tThNL1AXACWxTHBUjxgwPqbCj6fHFSNn6FAc2B0&#10;PeDWBCmuG+7XcnoOqNt/aPcLAAD//wMAUEsDBBQABgAIAAAAIQB7F8e94AAAAAkBAAAPAAAAZHJz&#10;L2Rvd25yZXYueG1sTI9BT4NAEIXvJv6HzZh4MXahNbRFlsY08WC8lGoix4EdgcjOEnZL6b93e9Lj&#10;m/fy3jfZbja9mGh0nWUF8SICQVxb3XGj4PPj9XEDwnlkjb1lUnAhB7v89ibDVNszFzQdfSNCCbsU&#10;FbTeD6mUrm7JoFvYgTh433Y06IMcG6lHPIdy08tlFCXSYMdhocWB9i3VP8eTUYAP1eVQDFGpyWz3&#10;h+m9fCu+SqXu7+aXZxCeZv8Xhit+QIc8MFX2xNqJXsFmnYSkgmS7BnH1l6sViCoc4qcYZJ7J/x/k&#10;vwAAAP//AwBQSwECLQAUAAYACAAAACEAtoM4kv4AAADhAQAAEwAAAAAAAAAAAAAAAAAAAAAAW0Nv&#10;bnRlbnRfVHlwZXNdLnhtbFBLAQItABQABgAIAAAAIQA4/SH/1gAAAJQBAAALAAAAAAAAAAAAAAAA&#10;AC8BAABfcmVscy8ucmVsc1BLAQItABQABgAIAAAAIQB71/dBMgIAAM8EAAAOAAAAAAAAAAAAAAAA&#10;AC4CAABkcnMvZTJvRG9jLnhtbFBLAQItABQABgAIAAAAIQB7F8e94AAAAAkBAAAPAAAAAAAAAAAA&#10;AAAAAIwEAABkcnMvZG93bnJldi54bWxQSwUGAAAAAAQABADzAAAAmQUAAAAA&#10;" adj="-11796480,,5400" path="m188468,l,,,3456431r188468,l188468,xe" fillcolor="#d00d0d" stroked="f">
                <v:stroke joinstyle="miter"/>
                <v:formulas/>
                <v:path arrowok="t" o:connecttype="custom" textboxrect="0,0,188595,3456940"/>
                <v:textbox inset="0,0,0,0">
                  <w:txbxContent>
                    <w:p w14:paraId="60CEFE49" w14:textId="77777777" w:rsidR="00473AF0" w:rsidRDefault="00473AF0" w:rsidP="00473AF0">
                      <w:pPr>
                        <w:jc w:val="center"/>
                      </w:pPr>
                      <w:r w:rsidRPr="00B13AAB">
                        <w:rPr>
                          <w:noProof/>
                        </w:rPr>
                        <w:drawing>
                          <wp:inline distT="0" distB="0" distL="0" distR="0" wp14:anchorId="558EF400" wp14:editId="68338687">
                            <wp:extent cx="139700" cy="3219450"/>
                            <wp:effectExtent l="0" t="0" r="0" b="0"/>
                            <wp:docPr id="8895909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3219450"/>
                                    </a:xfrm>
                                    <a:prstGeom prst="rect">
                                      <a:avLst/>
                                    </a:prstGeom>
                                    <a:noFill/>
                                    <a:ln>
                                      <a:noFill/>
                                    </a:ln>
                                  </pic:spPr>
                                </pic:pic>
                              </a:graphicData>
                            </a:graphic>
                          </wp:inline>
                        </w:drawing>
                      </w:r>
                    </w:p>
                  </w:txbxContent>
                </v:textbox>
                <w10:wrap anchorx="page" anchory="page"/>
              </v:shape>
            </w:pict>
          </mc:Fallback>
        </mc:AlternateContent>
      </w:r>
      <w:r w:rsidR="006A22AD" w:rsidRPr="00473AF0">
        <w:rPr>
          <w:rFonts w:ascii="Georgia" w:hAnsi="Georgia" w:cs="Times New Roman"/>
          <w:b/>
          <w:bCs/>
          <w:sz w:val="36"/>
          <w:szCs w:val="36"/>
        </w:rPr>
        <w:t xml:space="preserve">Assessment </w:t>
      </w:r>
      <w:r w:rsidRPr="00473AF0">
        <w:rPr>
          <w:rFonts w:ascii="Georgia" w:hAnsi="Georgia" w:cs="Times New Roman"/>
          <w:b/>
          <w:bCs/>
          <w:sz w:val="36"/>
          <w:szCs w:val="36"/>
        </w:rPr>
        <w:t xml:space="preserve">Of </w:t>
      </w:r>
      <w:r w:rsidR="006A22AD" w:rsidRPr="00473AF0">
        <w:rPr>
          <w:rFonts w:ascii="Georgia" w:hAnsi="Georgia" w:cs="Times New Roman"/>
          <w:b/>
          <w:bCs/>
          <w:sz w:val="36"/>
          <w:szCs w:val="36"/>
        </w:rPr>
        <w:t xml:space="preserve">Prevalence </w:t>
      </w:r>
      <w:r w:rsidRPr="00473AF0">
        <w:rPr>
          <w:rFonts w:ascii="Georgia" w:hAnsi="Georgia" w:cs="Times New Roman"/>
          <w:b/>
          <w:bCs/>
          <w:sz w:val="36"/>
          <w:szCs w:val="36"/>
        </w:rPr>
        <w:t xml:space="preserve">And </w:t>
      </w:r>
      <w:r w:rsidR="006A22AD" w:rsidRPr="00473AF0">
        <w:rPr>
          <w:rFonts w:ascii="Georgia" w:hAnsi="Georgia" w:cs="Times New Roman"/>
          <w:b/>
          <w:bCs/>
          <w:sz w:val="36"/>
          <w:szCs w:val="36"/>
        </w:rPr>
        <w:t xml:space="preserve">Risk Factors </w:t>
      </w:r>
      <w:r w:rsidRPr="00473AF0">
        <w:rPr>
          <w:rFonts w:ascii="Georgia" w:hAnsi="Georgia" w:cs="Times New Roman"/>
          <w:b/>
          <w:bCs/>
          <w:sz w:val="36"/>
          <w:szCs w:val="36"/>
        </w:rPr>
        <w:t xml:space="preserve">Of </w:t>
      </w:r>
      <w:r w:rsidR="006A22AD" w:rsidRPr="00473AF0">
        <w:rPr>
          <w:rFonts w:ascii="Georgia" w:hAnsi="Georgia" w:cs="Times New Roman"/>
          <w:b/>
          <w:bCs/>
          <w:sz w:val="36"/>
          <w:szCs w:val="36"/>
        </w:rPr>
        <w:t xml:space="preserve">Urinary Tract Infections </w:t>
      </w:r>
      <w:r w:rsidRPr="00473AF0">
        <w:rPr>
          <w:rFonts w:ascii="Georgia" w:hAnsi="Georgia" w:cs="Times New Roman"/>
          <w:b/>
          <w:bCs/>
          <w:sz w:val="36"/>
          <w:szCs w:val="36"/>
        </w:rPr>
        <w:t xml:space="preserve">In </w:t>
      </w:r>
      <w:r w:rsidR="006A22AD" w:rsidRPr="00473AF0">
        <w:rPr>
          <w:rFonts w:ascii="Georgia" w:hAnsi="Georgia" w:cs="Times New Roman"/>
          <w:b/>
          <w:bCs/>
          <w:sz w:val="36"/>
          <w:szCs w:val="36"/>
        </w:rPr>
        <w:t>Pediatric Diabetic Cases</w:t>
      </w:r>
      <w:r w:rsidRPr="00473AF0">
        <w:rPr>
          <w:rFonts w:ascii="Georgia" w:hAnsi="Georgia" w:cs="Times New Roman"/>
          <w:b/>
          <w:bCs/>
          <w:sz w:val="36"/>
          <w:szCs w:val="36"/>
        </w:rPr>
        <w:t xml:space="preserve">: </w:t>
      </w:r>
      <w:r w:rsidR="006A22AD" w:rsidRPr="00473AF0">
        <w:rPr>
          <w:rFonts w:ascii="Georgia" w:hAnsi="Georgia" w:cs="Times New Roman"/>
          <w:b/>
          <w:bCs/>
          <w:sz w:val="36"/>
          <w:szCs w:val="36"/>
        </w:rPr>
        <w:t>A Systematic Review</w:t>
      </w:r>
    </w:p>
    <w:p w14:paraId="4C2500BD" w14:textId="77777777" w:rsidR="00473AF0" w:rsidRPr="00473AF0" w:rsidRDefault="00473AF0" w:rsidP="00473AF0">
      <w:pPr>
        <w:spacing w:after="0" w:line="240" w:lineRule="auto"/>
        <w:jc w:val="center"/>
        <w:rPr>
          <w:rFonts w:ascii="Georgia" w:hAnsi="Georgia" w:cs="Times New Roman"/>
          <w:b/>
          <w:bCs/>
          <w:sz w:val="36"/>
          <w:szCs w:val="36"/>
        </w:rPr>
      </w:pPr>
    </w:p>
    <w:p w14:paraId="6889FFB4" w14:textId="7E923D1A" w:rsidR="00FF79D8" w:rsidRDefault="00473AF0" w:rsidP="00473AF0">
      <w:pPr>
        <w:spacing w:after="0" w:line="240" w:lineRule="auto"/>
        <w:jc w:val="center"/>
        <w:rPr>
          <w:rFonts w:ascii="Times New Roman" w:hAnsi="Times New Roman" w:cs="Times New Roman"/>
          <w:b/>
          <w:bCs/>
        </w:rPr>
      </w:pPr>
      <w:r w:rsidRPr="00473AF0">
        <w:rPr>
          <w:rFonts w:ascii="Times New Roman" w:hAnsi="Times New Roman" w:cs="Times New Roman"/>
          <w:b/>
          <w:bCs/>
        </w:rPr>
        <w:t>N</w:t>
      </w:r>
      <w:r w:rsidR="00FF79D8" w:rsidRPr="00473AF0">
        <w:rPr>
          <w:rFonts w:ascii="Times New Roman" w:hAnsi="Times New Roman" w:cs="Times New Roman"/>
          <w:b/>
          <w:bCs/>
        </w:rPr>
        <w:t>awal ahmed alshammari</w:t>
      </w:r>
      <w:r w:rsidRPr="00473AF0">
        <w:rPr>
          <w:rFonts w:ascii="Times New Roman" w:hAnsi="Times New Roman" w:cs="Times New Roman"/>
          <w:b/>
          <w:bCs/>
          <w:vertAlign w:val="superscript"/>
        </w:rPr>
        <w:t>1</w:t>
      </w:r>
      <w:r w:rsidRPr="00473AF0">
        <w:rPr>
          <w:rFonts w:ascii="Times New Roman" w:hAnsi="Times New Roman" w:cs="Times New Roman"/>
          <w:b/>
          <w:bCs/>
        </w:rPr>
        <w:t>,Faisal adel shukr</w:t>
      </w:r>
      <w:r w:rsidRPr="00473AF0">
        <w:rPr>
          <w:rFonts w:ascii="Times New Roman" w:hAnsi="Times New Roman" w:cs="Times New Roman"/>
          <w:b/>
          <w:bCs/>
          <w:vertAlign w:val="superscript"/>
        </w:rPr>
        <w:t>2</w:t>
      </w:r>
      <w:r w:rsidRPr="00473AF0">
        <w:rPr>
          <w:rFonts w:ascii="Times New Roman" w:hAnsi="Times New Roman" w:cs="Times New Roman"/>
          <w:b/>
          <w:bCs/>
        </w:rPr>
        <w:t>,Khaled Abdulrahman AlFaqeeh</w:t>
      </w:r>
      <w:r w:rsidRPr="00473AF0">
        <w:rPr>
          <w:rFonts w:ascii="Times New Roman" w:hAnsi="Times New Roman" w:cs="Times New Roman"/>
          <w:b/>
          <w:bCs/>
          <w:vertAlign w:val="superscript"/>
        </w:rPr>
        <w:t>3</w:t>
      </w:r>
      <w:r w:rsidRPr="00473AF0">
        <w:rPr>
          <w:rFonts w:ascii="Times New Roman" w:hAnsi="Times New Roman" w:cs="Times New Roman"/>
          <w:b/>
          <w:bCs/>
        </w:rPr>
        <w:t>,Salman Abdullah AlGethami</w:t>
      </w:r>
      <w:r w:rsidRPr="00473AF0">
        <w:rPr>
          <w:rFonts w:ascii="Times New Roman" w:hAnsi="Times New Roman" w:cs="Times New Roman"/>
          <w:b/>
          <w:bCs/>
          <w:vertAlign w:val="superscript"/>
        </w:rPr>
        <w:t xml:space="preserve">4 </w:t>
      </w:r>
      <w:r w:rsidRPr="00473AF0">
        <w:rPr>
          <w:rFonts w:ascii="Times New Roman" w:hAnsi="Times New Roman" w:cs="Times New Roman"/>
          <w:b/>
          <w:bCs/>
        </w:rPr>
        <w:t>,Ma’an Aref Alassiry</w:t>
      </w:r>
      <w:r w:rsidRPr="00473AF0">
        <w:rPr>
          <w:rFonts w:ascii="Times New Roman" w:hAnsi="Times New Roman" w:cs="Times New Roman"/>
          <w:b/>
          <w:bCs/>
          <w:vertAlign w:val="superscript"/>
        </w:rPr>
        <w:t>5</w:t>
      </w:r>
      <w:r w:rsidRPr="00473AF0">
        <w:rPr>
          <w:rFonts w:ascii="Times New Roman" w:hAnsi="Times New Roman" w:cs="Times New Roman"/>
          <w:b/>
          <w:bCs/>
        </w:rPr>
        <w:t>,Hasan Ali Alhawsawi</w:t>
      </w:r>
      <w:r w:rsidRPr="00473AF0">
        <w:rPr>
          <w:rFonts w:ascii="Times New Roman" w:hAnsi="Times New Roman" w:cs="Times New Roman"/>
          <w:b/>
          <w:bCs/>
          <w:vertAlign w:val="superscript"/>
        </w:rPr>
        <w:t>6</w:t>
      </w:r>
      <w:r w:rsidRPr="00473AF0">
        <w:rPr>
          <w:rFonts w:ascii="Times New Roman" w:hAnsi="Times New Roman" w:cs="Times New Roman"/>
          <w:b/>
          <w:bCs/>
        </w:rPr>
        <w:t>,Ahmed Abdelazim Elaimeri</w:t>
      </w:r>
      <w:r w:rsidRPr="00473AF0">
        <w:rPr>
          <w:rFonts w:ascii="Times New Roman" w:hAnsi="Times New Roman" w:cs="Times New Roman"/>
          <w:b/>
          <w:bCs/>
          <w:vertAlign w:val="superscript"/>
        </w:rPr>
        <w:t>7</w:t>
      </w:r>
      <w:r w:rsidRPr="00473AF0">
        <w:rPr>
          <w:rFonts w:ascii="Times New Roman" w:hAnsi="Times New Roman" w:cs="Times New Roman"/>
          <w:b/>
          <w:bCs/>
        </w:rPr>
        <w:t>,Amro Taimor Nawawi</w:t>
      </w:r>
      <w:r w:rsidRPr="00473AF0">
        <w:rPr>
          <w:rFonts w:ascii="Times New Roman" w:hAnsi="Times New Roman" w:cs="Times New Roman"/>
          <w:b/>
          <w:bCs/>
          <w:vertAlign w:val="superscript"/>
        </w:rPr>
        <w:t>8</w:t>
      </w:r>
      <w:r w:rsidRPr="00473AF0">
        <w:rPr>
          <w:rFonts w:ascii="Times New Roman" w:hAnsi="Times New Roman" w:cs="Times New Roman"/>
          <w:b/>
          <w:bCs/>
        </w:rPr>
        <w:t>,Ibrahim Abdullah Ibrahim Alhassan</w:t>
      </w:r>
      <w:r w:rsidRPr="00473AF0">
        <w:rPr>
          <w:rFonts w:ascii="Times New Roman" w:hAnsi="Times New Roman" w:cs="Times New Roman"/>
          <w:b/>
          <w:bCs/>
          <w:vertAlign w:val="superscript"/>
        </w:rPr>
        <w:t>9</w:t>
      </w:r>
      <w:r w:rsidRPr="00473AF0">
        <w:rPr>
          <w:rFonts w:ascii="Times New Roman" w:hAnsi="Times New Roman" w:cs="Times New Roman"/>
          <w:b/>
          <w:bCs/>
        </w:rPr>
        <w:t>,Abdulaziz Abdullah Ibrahim Alhassan</w:t>
      </w:r>
      <w:r w:rsidRPr="00473AF0">
        <w:rPr>
          <w:rFonts w:ascii="Times New Roman" w:hAnsi="Times New Roman" w:cs="Times New Roman"/>
          <w:b/>
          <w:bCs/>
          <w:vertAlign w:val="superscript"/>
        </w:rPr>
        <w:t>10</w:t>
      </w:r>
      <w:r w:rsidRPr="00473AF0">
        <w:rPr>
          <w:rFonts w:ascii="Times New Roman" w:hAnsi="Times New Roman" w:cs="Times New Roman"/>
          <w:b/>
          <w:bCs/>
        </w:rPr>
        <w:t>,Mohammad Ali Al-Abbad</w:t>
      </w:r>
      <w:r w:rsidRPr="00473AF0">
        <w:rPr>
          <w:rFonts w:ascii="Times New Roman" w:hAnsi="Times New Roman" w:cs="Times New Roman"/>
          <w:b/>
          <w:bCs/>
          <w:vertAlign w:val="superscript"/>
        </w:rPr>
        <w:t>11</w:t>
      </w:r>
    </w:p>
    <w:p w14:paraId="4C167427" w14:textId="77777777" w:rsidR="00473AF0" w:rsidRPr="00473AF0" w:rsidRDefault="00473AF0" w:rsidP="00473AF0">
      <w:pPr>
        <w:spacing w:after="0" w:line="240" w:lineRule="auto"/>
        <w:jc w:val="center"/>
        <w:rPr>
          <w:rFonts w:ascii="Times New Roman" w:hAnsi="Times New Roman" w:cs="Times New Roman"/>
          <w:b/>
          <w:bCs/>
        </w:rPr>
      </w:pPr>
    </w:p>
    <w:p w14:paraId="294C0295" w14:textId="6DB48446" w:rsidR="00FF79D8" w:rsidRPr="00473AF0" w:rsidRDefault="00473AF0" w:rsidP="00473AF0">
      <w:pPr>
        <w:spacing w:after="0" w:line="240" w:lineRule="auto"/>
        <w:jc w:val="center"/>
        <w:rPr>
          <w:rFonts w:ascii="Times New Roman" w:hAnsi="Times New Roman" w:cs="Times New Roman"/>
          <w:i/>
          <w:iCs/>
          <w:sz w:val="18"/>
          <w:szCs w:val="18"/>
        </w:rPr>
      </w:pPr>
      <w:r w:rsidRPr="00473AF0">
        <w:rPr>
          <w:rFonts w:ascii="Times New Roman" w:hAnsi="Times New Roman" w:cs="Times New Roman"/>
          <w:i/>
          <w:iCs/>
          <w:sz w:val="18"/>
          <w:szCs w:val="18"/>
          <w:vertAlign w:val="superscript"/>
        </w:rPr>
        <w:t>1</w:t>
      </w:r>
      <w:r w:rsidRPr="00473AF0">
        <w:rPr>
          <w:rFonts w:ascii="Times New Roman" w:hAnsi="Times New Roman" w:cs="Times New Roman"/>
          <w:i/>
          <w:iCs/>
          <w:sz w:val="18"/>
          <w:szCs w:val="18"/>
        </w:rPr>
        <w:t>P</w:t>
      </w:r>
      <w:r w:rsidR="00FF79D8" w:rsidRPr="00473AF0">
        <w:rPr>
          <w:rFonts w:ascii="Times New Roman" w:hAnsi="Times New Roman" w:cs="Times New Roman"/>
          <w:i/>
          <w:iCs/>
          <w:sz w:val="18"/>
          <w:szCs w:val="18"/>
        </w:rPr>
        <w:t>ediatric senior register</w:t>
      </w:r>
    </w:p>
    <w:p w14:paraId="0E2E7FA8" w14:textId="4143736E" w:rsidR="00FF79D8" w:rsidRPr="00473AF0" w:rsidRDefault="00473AF0" w:rsidP="00473AF0">
      <w:pPr>
        <w:spacing w:after="0" w:line="240" w:lineRule="auto"/>
        <w:jc w:val="center"/>
        <w:rPr>
          <w:rFonts w:ascii="Times New Roman" w:hAnsi="Times New Roman" w:cs="Times New Roman"/>
          <w:i/>
          <w:iCs/>
          <w:sz w:val="18"/>
          <w:szCs w:val="18"/>
        </w:rPr>
      </w:pPr>
      <w:r w:rsidRPr="00473AF0">
        <w:rPr>
          <w:rFonts w:ascii="Times New Roman" w:hAnsi="Times New Roman" w:cs="Times New Roman"/>
          <w:i/>
          <w:iCs/>
          <w:sz w:val="18"/>
          <w:szCs w:val="18"/>
          <w:vertAlign w:val="superscript"/>
        </w:rPr>
        <w:t>2</w:t>
      </w:r>
      <w:r w:rsidR="00FF79D8" w:rsidRPr="00473AF0">
        <w:rPr>
          <w:rFonts w:ascii="Times New Roman" w:hAnsi="Times New Roman" w:cs="Times New Roman"/>
          <w:i/>
          <w:iCs/>
          <w:sz w:val="18"/>
          <w:szCs w:val="18"/>
        </w:rPr>
        <w:t>GP, Ministry of health</w:t>
      </w:r>
    </w:p>
    <w:p w14:paraId="19314042" w14:textId="53B0227E" w:rsidR="00FF79D8" w:rsidRPr="00473AF0" w:rsidRDefault="00473AF0" w:rsidP="00473AF0">
      <w:pPr>
        <w:spacing w:after="0" w:line="240" w:lineRule="auto"/>
        <w:jc w:val="center"/>
        <w:rPr>
          <w:rFonts w:ascii="Times New Roman" w:hAnsi="Times New Roman" w:cs="Times New Roman"/>
          <w:i/>
          <w:iCs/>
          <w:sz w:val="18"/>
          <w:szCs w:val="18"/>
        </w:rPr>
      </w:pPr>
      <w:r w:rsidRPr="00473AF0">
        <w:rPr>
          <w:rFonts w:ascii="Times New Roman" w:hAnsi="Times New Roman" w:cs="Times New Roman"/>
          <w:i/>
          <w:iCs/>
          <w:sz w:val="18"/>
          <w:szCs w:val="18"/>
          <w:vertAlign w:val="superscript"/>
        </w:rPr>
        <w:t>3</w:t>
      </w:r>
      <w:r w:rsidR="00FF79D8" w:rsidRPr="00473AF0">
        <w:rPr>
          <w:rFonts w:ascii="Times New Roman" w:hAnsi="Times New Roman" w:cs="Times New Roman"/>
          <w:i/>
          <w:iCs/>
          <w:sz w:val="18"/>
          <w:szCs w:val="18"/>
        </w:rPr>
        <w:t>King Fahad University hospital in Alkhobar, - urology resident</w:t>
      </w:r>
    </w:p>
    <w:p w14:paraId="1B1E34A3" w14:textId="27282C51" w:rsidR="00FF79D8" w:rsidRPr="00473AF0" w:rsidRDefault="00473AF0" w:rsidP="00473AF0">
      <w:pPr>
        <w:spacing w:after="0" w:line="240" w:lineRule="auto"/>
        <w:jc w:val="center"/>
        <w:rPr>
          <w:rFonts w:ascii="Times New Roman" w:hAnsi="Times New Roman" w:cs="Times New Roman"/>
          <w:i/>
          <w:iCs/>
          <w:sz w:val="18"/>
          <w:szCs w:val="18"/>
        </w:rPr>
      </w:pPr>
      <w:r w:rsidRPr="00473AF0">
        <w:rPr>
          <w:rFonts w:ascii="Times New Roman" w:hAnsi="Times New Roman" w:cs="Times New Roman"/>
          <w:i/>
          <w:iCs/>
          <w:sz w:val="18"/>
          <w:szCs w:val="18"/>
          <w:vertAlign w:val="superscript"/>
        </w:rPr>
        <w:t>4</w:t>
      </w:r>
      <w:r w:rsidR="00FF79D8" w:rsidRPr="00473AF0">
        <w:rPr>
          <w:rFonts w:ascii="Times New Roman" w:hAnsi="Times New Roman" w:cs="Times New Roman"/>
          <w:i/>
          <w:iCs/>
          <w:sz w:val="18"/>
          <w:szCs w:val="18"/>
        </w:rPr>
        <w:t>Medical student</w:t>
      </w:r>
    </w:p>
    <w:p w14:paraId="4442BEA3" w14:textId="4B38F285" w:rsidR="00FF79D8" w:rsidRPr="00473AF0" w:rsidRDefault="00473AF0" w:rsidP="00473AF0">
      <w:pPr>
        <w:spacing w:after="0" w:line="240" w:lineRule="auto"/>
        <w:jc w:val="center"/>
        <w:rPr>
          <w:rFonts w:ascii="Times New Roman" w:hAnsi="Times New Roman" w:cs="Times New Roman"/>
          <w:i/>
          <w:iCs/>
          <w:sz w:val="18"/>
          <w:szCs w:val="18"/>
        </w:rPr>
      </w:pPr>
      <w:r w:rsidRPr="00473AF0">
        <w:rPr>
          <w:rFonts w:ascii="Times New Roman" w:hAnsi="Times New Roman" w:cs="Times New Roman"/>
          <w:i/>
          <w:iCs/>
          <w:sz w:val="18"/>
          <w:szCs w:val="18"/>
          <w:vertAlign w:val="superscript"/>
        </w:rPr>
        <w:t>5</w:t>
      </w:r>
      <w:r w:rsidR="00FF79D8" w:rsidRPr="00473AF0">
        <w:rPr>
          <w:rFonts w:ascii="Times New Roman" w:hAnsi="Times New Roman" w:cs="Times New Roman"/>
          <w:i/>
          <w:iCs/>
          <w:sz w:val="18"/>
          <w:szCs w:val="18"/>
        </w:rPr>
        <w:t>Medical Intern</w:t>
      </w:r>
    </w:p>
    <w:p w14:paraId="1414CE57" w14:textId="6EC5EACB" w:rsidR="00FF79D8" w:rsidRPr="00473AF0" w:rsidRDefault="00473AF0" w:rsidP="00473AF0">
      <w:pPr>
        <w:spacing w:after="0" w:line="240" w:lineRule="auto"/>
        <w:jc w:val="center"/>
        <w:rPr>
          <w:rFonts w:ascii="Times New Roman" w:hAnsi="Times New Roman" w:cs="Times New Roman"/>
          <w:i/>
          <w:iCs/>
          <w:sz w:val="18"/>
          <w:szCs w:val="18"/>
        </w:rPr>
      </w:pPr>
      <w:r w:rsidRPr="00473AF0">
        <w:rPr>
          <w:rFonts w:ascii="Times New Roman" w:hAnsi="Times New Roman" w:cs="Times New Roman"/>
          <w:i/>
          <w:iCs/>
          <w:sz w:val="18"/>
          <w:szCs w:val="18"/>
          <w:vertAlign w:val="superscript"/>
        </w:rPr>
        <w:t>6</w:t>
      </w:r>
      <w:r w:rsidR="00FF79D8" w:rsidRPr="00473AF0">
        <w:rPr>
          <w:rFonts w:ascii="Times New Roman" w:hAnsi="Times New Roman" w:cs="Times New Roman"/>
          <w:i/>
          <w:iCs/>
          <w:sz w:val="18"/>
          <w:szCs w:val="18"/>
        </w:rPr>
        <w:t>Medical College, University of Jeddah, Jeddah, Saudi Arabia</w:t>
      </w:r>
    </w:p>
    <w:p w14:paraId="311224FE" w14:textId="52A40A76" w:rsidR="00FF79D8" w:rsidRPr="00473AF0" w:rsidRDefault="00473AF0" w:rsidP="00473AF0">
      <w:pPr>
        <w:spacing w:after="0" w:line="240" w:lineRule="auto"/>
        <w:jc w:val="center"/>
        <w:rPr>
          <w:rFonts w:ascii="Times New Roman" w:hAnsi="Times New Roman" w:cs="Times New Roman"/>
          <w:i/>
          <w:iCs/>
          <w:sz w:val="18"/>
          <w:szCs w:val="18"/>
        </w:rPr>
      </w:pPr>
      <w:r w:rsidRPr="00473AF0">
        <w:rPr>
          <w:rFonts w:ascii="Times New Roman" w:hAnsi="Times New Roman" w:cs="Times New Roman"/>
          <w:i/>
          <w:iCs/>
          <w:sz w:val="18"/>
          <w:szCs w:val="18"/>
          <w:vertAlign w:val="superscript"/>
        </w:rPr>
        <w:t>7</w:t>
      </w:r>
      <w:r w:rsidR="00FF79D8" w:rsidRPr="00473AF0">
        <w:rPr>
          <w:rFonts w:ascii="Times New Roman" w:hAnsi="Times New Roman" w:cs="Times New Roman"/>
          <w:i/>
          <w:iCs/>
          <w:sz w:val="18"/>
          <w:szCs w:val="18"/>
        </w:rPr>
        <w:t>Urology senior registrar</w:t>
      </w:r>
    </w:p>
    <w:p w14:paraId="4C730B16" w14:textId="41BDDF62" w:rsidR="00462A2E" w:rsidRPr="00473AF0" w:rsidRDefault="00473AF0" w:rsidP="00473AF0">
      <w:pPr>
        <w:spacing w:after="0" w:line="240" w:lineRule="auto"/>
        <w:jc w:val="center"/>
        <w:rPr>
          <w:rFonts w:ascii="Times New Roman" w:hAnsi="Times New Roman" w:cs="Times New Roman"/>
          <w:i/>
          <w:iCs/>
          <w:sz w:val="18"/>
          <w:szCs w:val="18"/>
        </w:rPr>
      </w:pPr>
      <w:r w:rsidRPr="00473AF0">
        <w:rPr>
          <w:rFonts w:ascii="Times New Roman" w:hAnsi="Times New Roman" w:cs="Times New Roman"/>
          <w:i/>
          <w:iCs/>
          <w:sz w:val="18"/>
          <w:szCs w:val="18"/>
          <w:vertAlign w:val="superscript"/>
        </w:rPr>
        <w:t>8</w:t>
      </w:r>
      <w:r w:rsidR="00462A2E" w:rsidRPr="00473AF0">
        <w:rPr>
          <w:rFonts w:ascii="Times New Roman" w:hAnsi="Times New Roman" w:cs="Times New Roman"/>
          <w:i/>
          <w:iCs/>
          <w:sz w:val="18"/>
          <w:szCs w:val="18"/>
        </w:rPr>
        <w:t>Medical Intern, Ibn Sina Medical College, Jeddah, KSA</w:t>
      </w:r>
    </w:p>
    <w:p w14:paraId="5B900F27" w14:textId="4EBDC444" w:rsidR="00462A2E" w:rsidRPr="00473AF0" w:rsidRDefault="00473AF0" w:rsidP="00473AF0">
      <w:pPr>
        <w:spacing w:after="0" w:line="240" w:lineRule="auto"/>
        <w:jc w:val="center"/>
        <w:rPr>
          <w:rFonts w:ascii="Times New Roman" w:hAnsi="Times New Roman" w:cs="Times New Roman"/>
          <w:i/>
          <w:iCs/>
          <w:sz w:val="18"/>
          <w:szCs w:val="18"/>
        </w:rPr>
      </w:pPr>
      <w:r w:rsidRPr="00473AF0">
        <w:rPr>
          <w:rFonts w:ascii="Times New Roman" w:hAnsi="Times New Roman" w:cs="Times New Roman"/>
          <w:i/>
          <w:iCs/>
          <w:sz w:val="18"/>
          <w:szCs w:val="18"/>
          <w:vertAlign w:val="superscript"/>
        </w:rPr>
        <w:t>9</w:t>
      </w:r>
      <w:r w:rsidR="00462A2E" w:rsidRPr="00473AF0">
        <w:rPr>
          <w:rFonts w:ascii="Times New Roman" w:hAnsi="Times New Roman" w:cs="Times New Roman"/>
          <w:i/>
          <w:iCs/>
          <w:sz w:val="18"/>
          <w:szCs w:val="18"/>
        </w:rPr>
        <w:t>Urology</w:t>
      </w:r>
    </w:p>
    <w:p w14:paraId="3AEF8EDC" w14:textId="583DA041" w:rsidR="00462A2E" w:rsidRPr="00473AF0" w:rsidRDefault="00473AF0" w:rsidP="00473AF0">
      <w:pPr>
        <w:spacing w:after="0" w:line="240" w:lineRule="auto"/>
        <w:jc w:val="center"/>
        <w:rPr>
          <w:rFonts w:ascii="Times New Roman" w:hAnsi="Times New Roman" w:cs="Times New Roman"/>
          <w:i/>
          <w:iCs/>
          <w:sz w:val="18"/>
          <w:szCs w:val="18"/>
        </w:rPr>
      </w:pPr>
      <w:r w:rsidRPr="00473AF0">
        <w:rPr>
          <w:rFonts w:ascii="Times New Roman" w:hAnsi="Times New Roman" w:cs="Times New Roman"/>
          <w:i/>
          <w:iCs/>
          <w:sz w:val="18"/>
          <w:szCs w:val="18"/>
          <w:vertAlign w:val="superscript"/>
        </w:rPr>
        <w:t>10</w:t>
      </w:r>
      <w:r w:rsidRPr="00473AF0">
        <w:rPr>
          <w:rFonts w:ascii="Times New Roman" w:hAnsi="Times New Roman" w:cs="Times New Roman"/>
          <w:i/>
          <w:iCs/>
          <w:sz w:val="18"/>
          <w:szCs w:val="18"/>
        </w:rPr>
        <w:t>G</w:t>
      </w:r>
      <w:r w:rsidR="00462A2E" w:rsidRPr="00473AF0">
        <w:rPr>
          <w:rFonts w:ascii="Times New Roman" w:hAnsi="Times New Roman" w:cs="Times New Roman"/>
          <w:i/>
          <w:iCs/>
          <w:sz w:val="18"/>
          <w:szCs w:val="18"/>
        </w:rPr>
        <w:t>eneral practitioner</w:t>
      </w:r>
    </w:p>
    <w:p w14:paraId="3B377B97" w14:textId="1472E31F" w:rsidR="00FF79D8" w:rsidRDefault="00473AF0" w:rsidP="00473AF0">
      <w:pPr>
        <w:spacing w:after="0" w:line="240" w:lineRule="auto"/>
        <w:jc w:val="center"/>
        <w:rPr>
          <w:rFonts w:ascii="Times New Roman" w:hAnsi="Times New Roman" w:cs="Times New Roman"/>
          <w:i/>
          <w:iCs/>
          <w:sz w:val="18"/>
          <w:szCs w:val="18"/>
        </w:rPr>
      </w:pPr>
      <w:r w:rsidRPr="00473AF0">
        <w:rPr>
          <w:rFonts w:ascii="Times New Roman" w:hAnsi="Times New Roman" w:cs="Times New Roman"/>
          <w:i/>
          <w:iCs/>
          <w:sz w:val="18"/>
          <w:szCs w:val="18"/>
          <w:vertAlign w:val="superscript"/>
        </w:rPr>
        <w:t>11</w:t>
      </w:r>
      <w:r w:rsidR="006E4822" w:rsidRPr="00473AF0">
        <w:rPr>
          <w:rFonts w:ascii="Times New Roman" w:hAnsi="Times New Roman" w:cs="Times New Roman"/>
          <w:i/>
          <w:iCs/>
          <w:sz w:val="18"/>
          <w:szCs w:val="18"/>
        </w:rPr>
        <w:t xml:space="preserve"> </w:t>
      </w:r>
      <w:r w:rsidRPr="00473AF0">
        <w:rPr>
          <w:rFonts w:ascii="Times New Roman" w:hAnsi="Times New Roman" w:cs="Times New Roman"/>
          <w:i/>
          <w:iCs/>
          <w:sz w:val="18"/>
          <w:szCs w:val="18"/>
        </w:rPr>
        <w:t>G</w:t>
      </w:r>
      <w:r w:rsidR="006E4822" w:rsidRPr="00473AF0">
        <w:rPr>
          <w:rFonts w:ascii="Times New Roman" w:hAnsi="Times New Roman" w:cs="Times New Roman"/>
          <w:i/>
          <w:iCs/>
          <w:sz w:val="18"/>
          <w:szCs w:val="18"/>
        </w:rPr>
        <w:t>eneral practitioner</w:t>
      </w:r>
    </w:p>
    <w:p w14:paraId="439E714F" w14:textId="77777777" w:rsidR="00473AF0" w:rsidRPr="00473AF0" w:rsidRDefault="00473AF0" w:rsidP="00473AF0">
      <w:pPr>
        <w:spacing w:after="0" w:line="240" w:lineRule="auto"/>
        <w:jc w:val="center"/>
        <w:rPr>
          <w:rFonts w:ascii="Times New Roman" w:hAnsi="Times New Roman" w:cs="Times New Roman"/>
          <w:i/>
          <w:iCs/>
          <w:sz w:val="18"/>
          <w:szCs w:val="18"/>
        </w:rPr>
      </w:pPr>
    </w:p>
    <w:p w14:paraId="32D3EFF9" w14:textId="0C9DE64F" w:rsidR="0066434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Abstract</w:t>
      </w:r>
    </w:p>
    <w:p w14:paraId="2DAE5799" w14:textId="77777777" w:rsidR="00561E95" w:rsidRPr="00473AF0" w:rsidRDefault="00561E95" w:rsidP="00473AF0">
      <w:pPr>
        <w:spacing w:after="0" w:line="240" w:lineRule="auto"/>
        <w:jc w:val="both"/>
        <w:rPr>
          <w:rFonts w:ascii="Times New Roman" w:hAnsi="Times New Roman" w:cs="Times New Roman"/>
          <w:b/>
          <w:bCs/>
          <w:sz w:val="22"/>
          <w:szCs w:val="22"/>
        </w:rPr>
      </w:pPr>
    </w:p>
    <w:p w14:paraId="07A9E326"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Background</w:t>
      </w:r>
    </w:p>
    <w:p w14:paraId="1B7BEB6B"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Urinary tract infections (UTIs) are among the most common bacterial infections affecting individuals with diabetes mellitus. Pediatric patients with diabetes are particularly vulnerable due to immature immune defenses and metabolic instability. Understanding the prevalence and risk factors for UTIs in this group is crucial for prevention and management.</w:t>
      </w:r>
    </w:p>
    <w:p w14:paraId="7C032DB3"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Objective</w:t>
      </w:r>
    </w:p>
    <w:p w14:paraId="20FD3752"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To systematically review and synthesize current empirical literature on the prevalence, risk factors, microbial patterns, and antibiotic resistance of UTIs among pediatric and adolescent diabetic populations.</w:t>
      </w:r>
    </w:p>
    <w:p w14:paraId="2D40120B"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Methods</w:t>
      </w:r>
    </w:p>
    <w:p w14:paraId="0E00EDE4"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This study followed PRISMA 2020 guidelines for systematic reviews. Databases including PubMed, Scopus, Embase, and Google Scholar were searched for studies published between 2010 and 2025. Eligibility criteria included peer-reviewed studies on UTI prevalence and associated risk factors in pediatric or diabetic populations. Twenty-two studies were included after rigorous screening and quality assessment using the Newcastle-Ottawa Scale and AMSTAR-2.</w:t>
      </w:r>
    </w:p>
    <w:p w14:paraId="54B2F8A7"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Results</w:t>
      </w:r>
    </w:p>
    <w:p w14:paraId="70F9FAAD"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The review identified a consistently elevated prevalence of UTIs in diabetic children, with female sex, poor glycemic control, chronic kidney disease, and residual urine volume as key risk factors. A notable rise in antibiotic resistance was observed, particularly among common pathogens such as E. coli. Glycosuria, medication effects (e.g., SGLT2 inhibitors), and structural urinary tract abnormalities further increased susceptibility.</w:t>
      </w:r>
    </w:p>
    <w:p w14:paraId="4112C126"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Conclusion</w:t>
      </w:r>
    </w:p>
    <w:p w14:paraId="0788A3DA" w14:textId="77777777" w:rsidR="0066434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Pediatric patients with diabetes are at significantly elevated risk for UTIs, requiring targeted diagnostic protocols and tailored antimicrobial strategies. Early identification of high-risk individuals, especially females and those with poor metabolic control, can reduce complications. Further pediatric-specific longitudinal research is warranted.</w:t>
      </w:r>
    </w:p>
    <w:p w14:paraId="7F630DE7" w14:textId="77777777" w:rsidR="00473AF0" w:rsidRPr="00473AF0" w:rsidRDefault="00473AF0" w:rsidP="00473AF0">
      <w:pPr>
        <w:spacing w:after="0" w:line="240" w:lineRule="auto"/>
        <w:jc w:val="both"/>
        <w:rPr>
          <w:rFonts w:ascii="Times New Roman" w:hAnsi="Times New Roman" w:cs="Times New Roman"/>
          <w:sz w:val="22"/>
          <w:szCs w:val="22"/>
        </w:rPr>
      </w:pPr>
    </w:p>
    <w:p w14:paraId="1F234E6D"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Keywords</w:t>
      </w:r>
    </w:p>
    <w:p w14:paraId="6324E98B" w14:textId="00085F07" w:rsidR="00473AF0" w:rsidRPr="00473AF0" w:rsidRDefault="00664340" w:rsidP="008633CD">
      <w:pPr>
        <w:pBdr>
          <w:bottom w:val="single" w:sz="4" w:space="1" w:color="auto"/>
        </w:pBd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lastRenderedPageBreak/>
        <w:t>Pediatric diabetes, urinary tract infection, UTI, risk factors, prevalence, glycemic control, antimicrobial resistance, systematic review, children, diabetes mellitus</w:t>
      </w:r>
    </w:p>
    <w:p w14:paraId="4000A63B" w14:textId="77777777" w:rsidR="00561E95" w:rsidRDefault="00561E95" w:rsidP="00473AF0">
      <w:pPr>
        <w:spacing w:after="0" w:line="240" w:lineRule="auto"/>
        <w:jc w:val="both"/>
        <w:rPr>
          <w:rFonts w:ascii="Times New Roman" w:hAnsi="Times New Roman" w:cs="Times New Roman"/>
          <w:b/>
          <w:bCs/>
          <w:sz w:val="22"/>
          <w:szCs w:val="22"/>
        </w:rPr>
      </w:pPr>
    </w:p>
    <w:p w14:paraId="0A943F08" w14:textId="14634953"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Introduction</w:t>
      </w:r>
    </w:p>
    <w:p w14:paraId="7442DEF5" w14:textId="77777777" w:rsidR="0066434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Urinary tract infections (UTIs) are a pervasive clinical concern across all age groups, but children with diabetes mellitus (DM)—especially type 1 diabetes—face an elevated risk due to a combination of physiological, metabolic, and immunological factors. These children often exhibit compromised immune responses, hyperglycemia-induced alterations in leukocyte function, and glycosuria, which facilitates microbial growth in the urinary tract (Ahmed et al., 2023). As diabetes prevalence increases in pediatric populations globally, it becomes essential to understand how it amplifies vulnerability to UTIs and related complications.</w:t>
      </w:r>
    </w:p>
    <w:p w14:paraId="0D78DD0E" w14:textId="77777777" w:rsidR="008633CD" w:rsidRPr="00473AF0" w:rsidRDefault="008633CD" w:rsidP="00473AF0">
      <w:pPr>
        <w:spacing w:after="0" w:line="240" w:lineRule="auto"/>
        <w:jc w:val="both"/>
        <w:rPr>
          <w:rFonts w:ascii="Times New Roman" w:hAnsi="Times New Roman" w:cs="Times New Roman"/>
          <w:sz w:val="22"/>
          <w:szCs w:val="22"/>
        </w:rPr>
      </w:pPr>
    </w:p>
    <w:p w14:paraId="44706107"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Recent literature emphasizes that diabetic children are more likely to present with recurrent or severe UTI episodes, including pyelonephritis and renal scarring. These complications are aggravated by diabetic comorbidities such as nephropathy and ketoacidosis (Kostopoulou et al., 2023). The chronicity of elevated blood glucose and associated autonomic dysfunction contributes to poor bladder emptying and urinary retention, creating an ideal environment for bacterial colonization (Chao et al., 2021). In fact, frailty and overlapping complications in diabetic patients, including children, have been found to significantly increase the likelihood of UTI development (Chao et al., 2021).</w:t>
      </w:r>
    </w:p>
    <w:p w14:paraId="2647257B"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Several cross-sectional and systematic reviews affirm that bacterial UTIs are more prevalent in diabetic populations than in the general pediatric demographic. A recent systematic review conducted in Ethiopia found that the pooled prevalence of UTI among diabetic patients was 14.21%, with even higher susceptibility in females and those with prior UTI history or catheterization (Tegegne et al., 2023). These findings underscore the multifactorial nature of UTI risk in diabetic patients, including socioeconomic factors, gender, insulin use, and glycemic control status.</w:t>
      </w:r>
    </w:p>
    <w:p w14:paraId="1275B4A8"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Children with poorly managed diabetes are particularly prone to urinary infections due to impaired neutrophil function, which is exacerbated by hyperglycemia (Holt et al., 2024). Additionally, the antibiotic resistance profile of uropathogens in diabetic individuals complicates treatment, with pathogens like E. coli, Klebsiella, and even Candida tropicalis increasingly reported as causes of UTI in pediatric diabetic patients (Carpenter, 2025; Worku et al., 2021). Resistance to common antibiotics such as fluoroquinolones and beta-lactams has raised serious clinical management concerns.</w:t>
      </w:r>
    </w:p>
    <w:p w14:paraId="48A043C2" w14:textId="77777777" w:rsidR="0066434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The role of sodium-glucose cotransporter-2 (SGLT-2) inhibitors, although primarily used in adults, has raised discussions in pediatric endocrinology due to their association with increased glycosuria and UTI risk in older diabetic populations (Yang et al., 2022). While their use in pediatric care is limited, they highlight a broader theme of pharmacological risk factors that may influence infection rates in this vulnerable population.</w:t>
      </w:r>
    </w:p>
    <w:p w14:paraId="5648CAEB" w14:textId="77777777" w:rsidR="008633CD" w:rsidRPr="00473AF0" w:rsidRDefault="008633CD" w:rsidP="00473AF0">
      <w:pPr>
        <w:spacing w:after="0" w:line="240" w:lineRule="auto"/>
        <w:jc w:val="both"/>
        <w:rPr>
          <w:rFonts w:ascii="Times New Roman" w:hAnsi="Times New Roman" w:cs="Times New Roman"/>
          <w:sz w:val="22"/>
          <w:szCs w:val="22"/>
        </w:rPr>
      </w:pPr>
    </w:p>
    <w:p w14:paraId="47544231"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In pediatric settings, atypical presentation of UTIs—such as fever without urinary symptoms—can delay diagnosis and lead to complications. Daniel et al. (2023) reported that only 16.3% of children with confirmed UTI displayed classic symptoms such as dysuria or frequency, while most presented with non-specific symptoms like fever or vomiting. These diagnostic challenges necessitate high clinical suspicion in diabetic children presenting with unexplained febrile illness, especially in the absence of respiratory or gastrointestinal symptoms.</w:t>
      </w:r>
    </w:p>
    <w:p w14:paraId="067C2E0B" w14:textId="77777777" w:rsidR="0066434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Emerging evidence suggests that pediatric UTI patterns are also influenced by environmental and geographic factors. Mekonnen et al. (2023) identified high UTI prevalence in Ethiopian children, especially among those with prior hospitalization or antibiotic exposure, adding a layer of complexity for pediatric diabetics in resource-limited settings. Furthermore, regional bacterial profiles and antibiotic resistance patterns must be considered when designing preventive and therapeutic strategies for diabetic children (Mekonnen et al., 2023).</w:t>
      </w:r>
    </w:p>
    <w:p w14:paraId="54420348" w14:textId="77777777" w:rsidR="008633CD" w:rsidRPr="00473AF0" w:rsidRDefault="008633CD" w:rsidP="00473AF0">
      <w:pPr>
        <w:spacing w:after="0" w:line="240" w:lineRule="auto"/>
        <w:jc w:val="both"/>
        <w:rPr>
          <w:rFonts w:ascii="Times New Roman" w:hAnsi="Times New Roman" w:cs="Times New Roman"/>
          <w:sz w:val="22"/>
          <w:szCs w:val="22"/>
        </w:rPr>
      </w:pPr>
    </w:p>
    <w:p w14:paraId="54F9523B" w14:textId="4C820EF8" w:rsidR="00473AF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Lastly, Paudel et al. (2022) emphasized in their systematic review that despite the high burden of UTI among diabetic populations, particularly among females and the elderly, pediatric-focused studies remain limited. This gap underlines the urgent need for targeted research to delineate risk factors specific to children with diabetes. It also calls for development of pediatric-specific guidelines for UTI prevention, diagnosis, and management in diabetic populations.</w:t>
      </w:r>
    </w:p>
    <w:p w14:paraId="72014ED4" w14:textId="373A1334" w:rsidR="00010744"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Methodology</w:t>
      </w:r>
    </w:p>
    <w:p w14:paraId="56D54EE4"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Study Design</w:t>
      </w:r>
    </w:p>
    <w:p w14:paraId="5441517C" w14:textId="7BFDAAE1" w:rsidR="0066434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This study employed a systematic review methodology, strictly adhering to the Preferred Reporting Items for Systematic Reviews and Meta-Analyses (PRISMA) 2020 guidelines to ensure transparency and reproducibility throughout the review process. The primary objective was to synthesize current empirical evidence on the prevalence and risk factors associated with urinary tract infections (UTIs) among pediatric patients diagnosed with diabetes mellitus (DM). Only peer-reviewed journal articles involving human subjects were included, with a focus on quantitative assessments of UTI incidence, risk determinants, and demographic or clinical correlations in diabetic pediatric populations.</w:t>
      </w:r>
    </w:p>
    <w:p w14:paraId="25BA2DDD" w14:textId="77777777" w:rsidR="00473AF0" w:rsidRPr="00473AF0" w:rsidRDefault="00473AF0" w:rsidP="00473AF0">
      <w:pPr>
        <w:spacing w:after="0" w:line="240" w:lineRule="auto"/>
        <w:jc w:val="both"/>
        <w:rPr>
          <w:rFonts w:ascii="Times New Roman" w:hAnsi="Times New Roman" w:cs="Times New Roman"/>
          <w:sz w:val="22"/>
          <w:szCs w:val="22"/>
        </w:rPr>
      </w:pPr>
    </w:p>
    <w:p w14:paraId="68DFE39A"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Eligibility Criteria</w:t>
      </w:r>
    </w:p>
    <w:p w14:paraId="702B77D0"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The following inclusion and exclusion criteria were applied to identify studies eligible for this systematic review:</w:t>
      </w:r>
    </w:p>
    <w:p w14:paraId="4EA063D8" w14:textId="77777777" w:rsidR="00664340" w:rsidRPr="00473AF0" w:rsidRDefault="00664340" w:rsidP="00473AF0">
      <w:pPr>
        <w:numPr>
          <w:ilvl w:val="0"/>
          <w:numId w:val="3"/>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b/>
          <w:bCs/>
          <w:sz w:val="22"/>
          <w:szCs w:val="22"/>
        </w:rPr>
        <w:t>Population:</w:t>
      </w:r>
      <w:r w:rsidRPr="00473AF0">
        <w:rPr>
          <w:rFonts w:ascii="Times New Roman" w:hAnsi="Times New Roman" w:cs="Times New Roman"/>
          <w:sz w:val="22"/>
          <w:szCs w:val="22"/>
        </w:rPr>
        <w:t xml:space="preserve"> Pediatric patients (≤18 years of age) diagnosed with type 1 or type 2 diabetes mellitus.</w:t>
      </w:r>
    </w:p>
    <w:p w14:paraId="7A2323EA" w14:textId="77777777" w:rsidR="00664340" w:rsidRPr="00473AF0" w:rsidRDefault="00664340" w:rsidP="00473AF0">
      <w:pPr>
        <w:numPr>
          <w:ilvl w:val="0"/>
          <w:numId w:val="3"/>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b/>
          <w:bCs/>
          <w:sz w:val="22"/>
          <w:szCs w:val="22"/>
        </w:rPr>
        <w:t>Interventions/Exposures:</w:t>
      </w:r>
      <w:r w:rsidRPr="00473AF0">
        <w:rPr>
          <w:rFonts w:ascii="Times New Roman" w:hAnsi="Times New Roman" w:cs="Times New Roman"/>
          <w:sz w:val="22"/>
          <w:szCs w:val="22"/>
        </w:rPr>
        <w:t xml:space="preserve"> Studies that evaluated UTI prevalence and its associated risk factors in diabetic children. Risk factors could include age, gender, glycemic control (HbA1c), body mass index (BMI), duration of diabetes, comorbid conditions, catheterization history, or urinary abnormalities.</w:t>
      </w:r>
    </w:p>
    <w:p w14:paraId="3125CF08" w14:textId="77777777" w:rsidR="00664340" w:rsidRPr="00473AF0" w:rsidRDefault="00664340" w:rsidP="00473AF0">
      <w:pPr>
        <w:numPr>
          <w:ilvl w:val="0"/>
          <w:numId w:val="3"/>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b/>
          <w:bCs/>
          <w:sz w:val="22"/>
          <w:szCs w:val="22"/>
        </w:rPr>
        <w:t>Comparators:</w:t>
      </w:r>
      <w:r w:rsidRPr="00473AF0">
        <w:rPr>
          <w:rFonts w:ascii="Times New Roman" w:hAnsi="Times New Roman" w:cs="Times New Roman"/>
          <w:sz w:val="22"/>
          <w:szCs w:val="22"/>
        </w:rPr>
        <w:t xml:space="preserve"> Not a mandatory criterion; however, where available, comparisons to non-diabetic children or diabetic children without UTIs were considered.</w:t>
      </w:r>
    </w:p>
    <w:p w14:paraId="128425AC" w14:textId="77777777" w:rsidR="00664340" w:rsidRPr="00473AF0" w:rsidRDefault="00664340" w:rsidP="00473AF0">
      <w:pPr>
        <w:numPr>
          <w:ilvl w:val="0"/>
          <w:numId w:val="3"/>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b/>
          <w:bCs/>
          <w:sz w:val="22"/>
          <w:szCs w:val="22"/>
        </w:rPr>
        <w:t>Outcomes:</w:t>
      </w:r>
      <w:r w:rsidRPr="00473AF0">
        <w:rPr>
          <w:rFonts w:ascii="Times New Roman" w:hAnsi="Times New Roman" w:cs="Times New Roman"/>
          <w:sz w:val="22"/>
          <w:szCs w:val="22"/>
        </w:rPr>
        <w:t xml:space="preserve"> Prevalence of UTIs (diagnosed clinically and/or via laboratory confirmation), identified risk factors, microbial etiologies, clinical presentations, and antibiotic resistance patterns.</w:t>
      </w:r>
    </w:p>
    <w:p w14:paraId="72A60110" w14:textId="77777777" w:rsidR="00664340" w:rsidRPr="00473AF0" w:rsidRDefault="00664340" w:rsidP="00473AF0">
      <w:pPr>
        <w:numPr>
          <w:ilvl w:val="0"/>
          <w:numId w:val="3"/>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b/>
          <w:bCs/>
          <w:sz w:val="22"/>
          <w:szCs w:val="22"/>
        </w:rPr>
        <w:t>Study Designs:</w:t>
      </w:r>
      <w:r w:rsidRPr="00473AF0">
        <w:rPr>
          <w:rFonts w:ascii="Times New Roman" w:hAnsi="Times New Roman" w:cs="Times New Roman"/>
          <w:sz w:val="22"/>
          <w:szCs w:val="22"/>
        </w:rPr>
        <w:t xml:space="preserve"> Observational studies including cross-sectional studies, cohort studies, case-control studies, and systematic reviews or meta-analyses.</w:t>
      </w:r>
    </w:p>
    <w:p w14:paraId="6583AAE3" w14:textId="77777777" w:rsidR="00664340" w:rsidRPr="00473AF0" w:rsidRDefault="00664340" w:rsidP="00473AF0">
      <w:pPr>
        <w:numPr>
          <w:ilvl w:val="0"/>
          <w:numId w:val="3"/>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b/>
          <w:bCs/>
          <w:sz w:val="22"/>
          <w:szCs w:val="22"/>
        </w:rPr>
        <w:t>Language:</w:t>
      </w:r>
      <w:r w:rsidRPr="00473AF0">
        <w:rPr>
          <w:rFonts w:ascii="Times New Roman" w:hAnsi="Times New Roman" w:cs="Times New Roman"/>
          <w:sz w:val="22"/>
          <w:szCs w:val="22"/>
        </w:rPr>
        <w:t xml:space="preserve"> Only articles published in English were included.</w:t>
      </w:r>
    </w:p>
    <w:p w14:paraId="073FABD9" w14:textId="77777777" w:rsidR="00664340" w:rsidRDefault="00664340" w:rsidP="00473AF0">
      <w:pPr>
        <w:numPr>
          <w:ilvl w:val="0"/>
          <w:numId w:val="3"/>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b/>
          <w:bCs/>
          <w:sz w:val="22"/>
          <w:szCs w:val="22"/>
        </w:rPr>
        <w:t>Publication Period:</w:t>
      </w:r>
      <w:r w:rsidRPr="00473AF0">
        <w:rPr>
          <w:rFonts w:ascii="Times New Roman" w:hAnsi="Times New Roman" w:cs="Times New Roman"/>
          <w:sz w:val="22"/>
          <w:szCs w:val="22"/>
        </w:rPr>
        <w:t xml:space="preserve"> Studies published from January 2010 to March 2025 were considered to ensure contemporary relevance and clinical applicability.</w:t>
      </w:r>
    </w:p>
    <w:p w14:paraId="72880F78" w14:textId="77777777" w:rsidR="00473AF0" w:rsidRPr="00473AF0" w:rsidRDefault="00473AF0" w:rsidP="00473AF0">
      <w:pPr>
        <w:spacing w:after="0" w:line="240" w:lineRule="auto"/>
        <w:ind w:left="720"/>
        <w:jc w:val="both"/>
        <w:rPr>
          <w:rFonts w:ascii="Times New Roman" w:hAnsi="Times New Roman" w:cs="Times New Roman"/>
          <w:sz w:val="22"/>
          <w:szCs w:val="22"/>
        </w:rPr>
      </w:pPr>
    </w:p>
    <w:p w14:paraId="76B0B346"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Search Strategy</w:t>
      </w:r>
    </w:p>
    <w:p w14:paraId="73DA8C59"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A comprehensive search strategy was formulated and executed across multiple electronic databases: PubMed, Scopus, Web of Science, Google Scholar, and Embase. Additionally, reference lists of key articles and reviews were manually screened to identify any relevant studies missed by the database queries.</w:t>
      </w:r>
    </w:p>
    <w:p w14:paraId="22471F5B"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The following Boolean combinations and MeSH terms were employed in the search:</w:t>
      </w:r>
    </w:p>
    <w:p w14:paraId="1D8AA4A0" w14:textId="77777777" w:rsidR="00664340" w:rsidRPr="00473AF0" w:rsidRDefault="00664340" w:rsidP="00473AF0">
      <w:pPr>
        <w:numPr>
          <w:ilvl w:val="0"/>
          <w:numId w:val="4"/>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(“pediatric diabetes” OR “type 1 diabetes” OR “childhood diabetes” OR “juvenile diabetes”)</w:t>
      </w:r>
    </w:p>
    <w:p w14:paraId="6ADA5B4D" w14:textId="77777777" w:rsidR="00664340" w:rsidRPr="00473AF0" w:rsidRDefault="00664340" w:rsidP="00473AF0">
      <w:pPr>
        <w:numPr>
          <w:ilvl w:val="0"/>
          <w:numId w:val="4"/>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AND (“urinary tract infection” OR “UTI” OR “cystitis” OR “pyelonephritis”)</w:t>
      </w:r>
    </w:p>
    <w:p w14:paraId="55ED7642" w14:textId="77777777" w:rsidR="00664340" w:rsidRPr="00473AF0" w:rsidRDefault="00664340" w:rsidP="00473AF0">
      <w:pPr>
        <w:numPr>
          <w:ilvl w:val="0"/>
          <w:numId w:val="4"/>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AND (“prevalence” OR “incidence” OR “risk factors” OR “antibiotic resistance”)</w:t>
      </w:r>
    </w:p>
    <w:p w14:paraId="11DEA15D" w14:textId="25ADC1F3" w:rsidR="0066434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Only full-text peer-reviewed studies were selected, with a preference for open-access or institutionally available publications.</w:t>
      </w:r>
    </w:p>
    <w:p w14:paraId="1B7F08EF" w14:textId="77777777" w:rsidR="00473AF0" w:rsidRPr="00473AF0" w:rsidRDefault="00473AF0" w:rsidP="00473AF0">
      <w:pPr>
        <w:spacing w:after="0" w:line="240" w:lineRule="auto"/>
        <w:jc w:val="both"/>
        <w:rPr>
          <w:rFonts w:ascii="Times New Roman" w:hAnsi="Times New Roman" w:cs="Times New Roman"/>
          <w:sz w:val="22"/>
          <w:szCs w:val="22"/>
        </w:rPr>
      </w:pPr>
    </w:p>
    <w:p w14:paraId="6CEFCCE1"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Study Selection Process</w:t>
      </w:r>
    </w:p>
    <w:p w14:paraId="4693BDB0"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All retrieved citations were imported into Zotero reference management software, and duplicate entries were removed. Two independent reviewers performed title and abstract screening to assess relevance. Studies deemed potentially eligible were retrieved in full text and evaluated against the eligibility criteria.</w:t>
      </w:r>
    </w:p>
    <w:p w14:paraId="61AD9ADE" w14:textId="77777777" w:rsid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Disagreements during screening or full-text review were resolved by consensus or consultation with a third senior reviewer. The final selection included 12 studies that met all inclusion criteria and addressed the specific aims of the review.</w:t>
      </w:r>
    </w:p>
    <w:p w14:paraId="56FDBDD8" w14:textId="7975537F" w:rsidR="00473AF0" w:rsidRPr="00010744" w:rsidRDefault="003B2307" w:rsidP="00010744">
      <w:pPr>
        <w:spacing w:after="0" w:line="240" w:lineRule="auto"/>
        <w:jc w:val="both"/>
        <w:rPr>
          <w:rFonts w:ascii="Times New Roman" w:hAnsi="Times New Roman" w:cs="Times New Roman"/>
          <w:sz w:val="22"/>
          <w:szCs w:val="22"/>
        </w:rPr>
      </w:pPr>
      <w:r w:rsidRPr="00473AF0">
        <w:rPr>
          <w:rFonts w:ascii="Times New Roman" w:hAnsi="Times New Roman" w:cs="Times New Roman"/>
          <w:noProof/>
          <w:sz w:val="22"/>
          <w:szCs w:val="22"/>
        </w:rPr>
        <mc:AlternateContent>
          <mc:Choice Requires="wps">
            <w:drawing>
              <wp:anchor distT="0" distB="0" distL="114300" distR="114300" simplePos="0" relativeHeight="251660288" behindDoc="0" locked="0" layoutInCell="1" allowOverlap="1" wp14:anchorId="43DC226E" wp14:editId="2D96CFFD">
                <wp:simplePos x="0" y="0"/>
                <wp:positionH relativeFrom="column">
                  <wp:posOffset>1051560</wp:posOffset>
                </wp:positionH>
                <wp:positionV relativeFrom="paragraph">
                  <wp:posOffset>6824345</wp:posOffset>
                </wp:positionV>
                <wp:extent cx="4149090" cy="635"/>
                <wp:effectExtent l="0" t="0" r="0" b="0"/>
                <wp:wrapTopAndBottom/>
                <wp:docPr id="1478527957" name="Text Box 1"/>
                <wp:cNvGraphicFramePr/>
                <a:graphic xmlns:a="http://schemas.openxmlformats.org/drawingml/2006/main">
                  <a:graphicData uri="http://schemas.microsoft.com/office/word/2010/wordprocessingShape">
                    <wps:wsp>
                      <wps:cNvSpPr txBox="1"/>
                      <wps:spPr>
                        <a:xfrm>
                          <a:off x="0" y="0"/>
                          <a:ext cx="4149090" cy="635"/>
                        </a:xfrm>
                        <a:prstGeom prst="rect">
                          <a:avLst/>
                        </a:prstGeom>
                        <a:solidFill>
                          <a:prstClr val="white"/>
                        </a:solidFill>
                        <a:ln>
                          <a:noFill/>
                        </a:ln>
                      </wps:spPr>
                      <wps:txbx>
                        <w:txbxContent>
                          <w:p w14:paraId="1F65A288" w14:textId="7B82D949" w:rsidR="003B2307" w:rsidRPr="003B2307" w:rsidRDefault="003B2307" w:rsidP="003B2307">
                            <w:pPr>
                              <w:pStyle w:val="Caption"/>
                              <w:jc w:val="center"/>
                              <w:rPr>
                                <w:b/>
                                <w:bCs/>
                                <w:noProof/>
                                <w:sz w:val="32"/>
                                <w:szCs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3DC226E" id="_x0000_t202" coordsize="21600,21600" o:spt="202" path="m,l,21600r21600,l21600,xe">
                <v:stroke joinstyle="miter"/>
                <v:path gradientshapeok="t" o:connecttype="rect"/>
              </v:shapetype>
              <v:shape id="Text Box 1" o:spid="_x0000_s1027" type="#_x0000_t202" style="position:absolute;left:0;text-align:left;margin-left:82.8pt;margin-top:537.35pt;width:326.7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GuXGAIAAD8EAAAOAAAAZHJzL2Uyb0RvYy54bWysU8Fu2zAMvQ/YPwi6L066rliNOEWWIsOA&#10;oC2QDj0rshwLkEWNUmJnXz9KtpOu22nYRaZJihTfe5zfdY1hR4Vegy34bDLlTFkJpbb7gn9/Xn/4&#10;zJkPwpbCgFUFPynP7xbv381bl6srqMGUChkVsT5vXcHrEFyeZV7WqhF+Ak5ZClaAjQj0i/usRNFS&#10;9cZkV9PpTdYClg5BKu/Je98H+SLVryolw2NVeRWYKTi9LaQT07mLZ7aYi3yPwtVaDs8Q//CKRmhL&#10;Tc+l7kUQ7ID6j1KNlggeqjCR0GRQVVqqNANNM5u+mWZbC6fSLASOd2eY/P8rKx+OW/eELHRfoCMC&#10;IyCt87knZ5ynq7CJX3opozhBeDrDprrAJDmvZ9e301sKSYrdfPwUa2SXqw59+KqgYdEoOBInCSpx&#10;3PjQp44psZMHo8u1Nib+xMDKIDsK4q+tdVBD8d+yjI25FuKtvmD0ZJc5ohW6Xcd0+WrGHZQnGh2h&#10;V4V3cq2p30b48CSQZEAjkbTDIx2VgbbgMFic1YA//+aP+cQORTlrSVYF9z8OAhVn5psl3qIGRwNH&#10;Yzca9tCsgCad0dI4mUy6gMGMZoXQvJDil7ELhYSV1KvgYTRXoRc3bYxUy2VKIqU5ETZ262QsPeL6&#10;3L0IdAMrgch8gFFwIn9DTp+b6HHLQyCkE3MR1x7FAW5SaeJ+2Ki4Bq//U9Zl7xe/AAAA//8DAFBL&#10;AwQUAAYACAAAACEAbdnbkOIAAAANAQAADwAAAGRycy9kb3ducmV2LnhtbEyPMU/DMBCFdyT+g3VI&#10;LIg6hZCGEKeqKhhgqUi7dHNjNw7E58h22vDvOcQA2727p3ffK5eT7dlJ+9A5FDCfJcA0Nk512ArY&#10;bV9uc2AhSlSyd6gFfOkAy+ryopSFcmd816c6toxCMBRSgIlxKDgPjdFWhpkbNNLt6LyVkaRvufLy&#10;TOG253dJknErO6QPRg56bXTzWY9WwCbdb8zNeHx+W6X3/nU3rrOPthbi+mpaPQGLeop/ZvjBJ3So&#10;iOngRlSB9aSzh4ysNCSLdAGMLPn8keodflc58Krk/1tU3wAAAP//AwBQSwECLQAUAAYACAAAACEA&#10;toM4kv4AAADhAQAAEwAAAAAAAAAAAAAAAAAAAAAAW0NvbnRlbnRfVHlwZXNdLnhtbFBLAQItABQA&#10;BgAIAAAAIQA4/SH/1gAAAJQBAAALAAAAAAAAAAAAAAAAAC8BAABfcmVscy8ucmVsc1BLAQItABQA&#10;BgAIAAAAIQDSmGuXGAIAAD8EAAAOAAAAAAAAAAAAAAAAAC4CAABkcnMvZTJvRG9jLnhtbFBLAQIt&#10;ABQABgAIAAAAIQBt2duQ4gAAAA0BAAAPAAAAAAAAAAAAAAAAAHIEAABkcnMvZG93bnJldi54bWxQ&#10;SwUGAAAAAAQABADzAAAAgQUAAAAA&#10;" stroked="f">
                <v:textbox style="mso-fit-shape-to-text:t" inset="0,0,0,0">
                  <w:txbxContent>
                    <w:p w14:paraId="1F65A288" w14:textId="7B82D949" w:rsidR="003B2307" w:rsidRPr="003B2307" w:rsidRDefault="003B2307" w:rsidP="003B2307">
                      <w:pPr>
                        <w:pStyle w:val="Caption"/>
                        <w:jc w:val="center"/>
                        <w:rPr>
                          <w:b/>
                          <w:bCs/>
                          <w:noProof/>
                          <w:sz w:val="32"/>
                          <w:szCs w:val="32"/>
                        </w:rPr>
                      </w:pPr>
                    </w:p>
                  </w:txbxContent>
                </v:textbox>
                <w10:wrap type="topAndBottom"/>
              </v:shape>
            </w:pict>
          </mc:Fallback>
        </mc:AlternateContent>
      </w:r>
      <w:r w:rsidR="00664340" w:rsidRPr="00473AF0">
        <w:rPr>
          <w:rFonts w:ascii="Times New Roman" w:hAnsi="Times New Roman" w:cs="Times New Roman"/>
          <w:sz w:val="22"/>
          <w:szCs w:val="22"/>
        </w:rPr>
        <w:t>The PRISMA 2020 flow diagram summarizing the selection process is presented in Figure 1.</w:t>
      </w:r>
    </w:p>
    <w:p w14:paraId="088525AC" w14:textId="066ECC1D" w:rsidR="00473AF0" w:rsidRPr="00473AF0" w:rsidRDefault="008633CD" w:rsidP="00473AF0">
      <w:pPr>
        <w:pStyle w:val="Caption"/>
        <w:jc w:val="center"/>
        <w:rPr>
          <w:rFonts w:ascii="Times New Roman" w:hAnsi="Times New Roman" w:cs="Times New Roman"/>
          <w:b/>
          <w:bCs/>
          <w:i w:val="0"/>
          <w:iCs w:val="0"/>
          <w:noProof/>
          <w:color w:val="auto"/>
          <w:sz w:val="22"/>
          <w:szCs w:val="22"/>
        </w:rPr>
      </w:pPr>
      <w:r w:rsidRPr="00473AF0">
        <w:rPr>
          <w:rFonts w:ascii="Times New Roman" w:hAnsi="Times New Roman" w:cs="Times New Roman"/>
          <w:i w:val="0"/>
          <w:iCs w:val="0"/>
          <w:noProof/>
          <w:color w:val="auto"/>
          <w:sz w:val="22"/>
          <w:szCs w:val="22"/>
        </w:rPr>
        <w:drawing>
          <wp:anchor distT="0" distB="0" distL="114300" distR="114300" simplePos="0" relativeHeight="251662336" behindDoc="0" locked="0" layoutInCell="1" allowOverlap="1" wp14:anchorId="4881210D" wp14:editId="254666AC">
            <wp:simplePos x="0" y="0"/>
            <wp:positionH relativeFrom="margin">
              <wp:align>left</wp:align>
            </wp:positionH>
            <wp:positionV relativeFrom="paragraph">
              <wp:posOffset>209550</wp:posOffset>
            </wp:positionV>
            <wp:extent cx="5295900" cy="4084320"/>
            <wp:effectExtent l="0" t="0" r="0" b="0"/>
            <wp:wrapTopAndBottom/>
            <wp:docPr id="431717960"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Gener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5900" cy="4084320"/>
                    </a:xfrm>
                    <a:prstGeom prst="rect">
                      <a:avLst/>
                    </a:prstGeom>
                    <a:noFill/>
                    <a:ln>
                      <a:noFill/>
                    </a:ln>
                  </pic:spPr>
                </pic:pic>
              </a:graphicData>
            </a:graphic>
            <wp14:sizeRelH relativeFrom="page">
              <wp14:pctWidth>0</wp14:pctWidth>
            </wp14:sizeRelH>
            <wp14:sizeRelV relativeFrom="page">
              <wp14:pctHeight>0</wp14:pctHeight>
            </wp14:sizeRelV>
          </wp:anchor>
        </w:drawing>
      </w:r>
      <w:r w:rsidR="00473AF0" w:rsidRPr="00473AF0">
        <w:rPr>
          <w:rFonts w:ascii="Times New Roman" w:hAnsi="Times New Roman" w:cs="Times New Roman"/>
          <w:b/>
          <w:bCs/>
          <w:i w:val="0"/>
          <w:iCs w:val="0"/>
          <w:color w:val="auto"/>
          <w:sz w:val="22"/>
          <w:szCs w:val="22"/>
        </w:rPr>
        <w:t xml:space="preserve">Figure </w:t>
      </w:r>
      <w:r w:rsidR="00473AF0" w:rsidRPr="00473AF0">
        <w:rPr>
          <w:rFonts w:ascii="Times New Roman" w:hAnsi="Times New Roman" w:cs="Times New Roman"/>
          <w:b/>
          <w:bCs/>
          <w:i w:val="0"/>
          <w:iCs w:val="0"/>
          <w:color w:val="auto"/>
          <w:sz w:val="22"/>
          <w:szCs w:val="22"/>
        </w:rPr>
        <w:fldChar w:fldCharType="begin"/>
      </w:r>
      <w:r w:rsidR="00473AF0" w:rsidRPr="00473AF0">
        <w:rPr>
          <w:rFonts w:ascii="Times New Roman" w:hAnsi="Times New Roman" w:cs="Times New Roman"/>
          <w:b/>
          <w:bCs/>
          <w:i w:val="0"/>
          <w:iCs w:val="0"/>
          <w:color w:val="auto"/>
          <w:sz w:val="22"/>
          <w:szCs w:val="22"/>
        </w:rPr>
        <w:instrText xml:space="preserve"> SEQ Figure \* ARABIC </w:instrText>
      </w:r>
      <w:r w:rsidR="00473AF0" w:rsidRPr="00473AF0">
        <w:rPr>
          <w:rFonts w:ascii="Times New Roman" w:hAnsi="Times New Roman" w:cs="Times New Roman"/>
          <w:b/>
          <w:bCs/>
          <w:i w:val="0"/>
          <w:iCs w:val="0"/>
          <w:color w:val="auto"/>
          <w:sz w:val="22"/>
          <w:szCs w:val="22"/>
        </w:rPr>
        <w:fldChar w:fldCharType="separate"/>
      </w:r>
      <w:r w:rsidR="00473AF0" w:rsidRPr="00473AF0">
        <w:rPr>
          <w:rFonts w:ascii="Times New Roman" w:hAnsi="Times New Roman" w:cs="Times New Roman"/>
          <w:b/>
          <w:bCs/>
          <w:i w:val="0"/>
          <w:iCs w:val="0"/>
          <w:noProof/>
          <w:color w:val="auto"/>
          <w:sz w:val="22"/>
          <w:szCs w:val="22"/>
        </w:rPr>
        <w:t>1</w:t>
      </w:r>
      <w:r w:rsidR="00473AF0" w:rsidRPr="00473AF0">
        <w:rPr>
          <w:rFonts w:ascii="Times New Roman" w:hAnsi="Times New Roman" w:cs="Times New Roman"/>
          <w:b/>
          <w:bCs/>
          <w:i w:val="0"/>
          <w:iCs w:val="0"/>
          <w:color w:val="auto"/>
          <w:sz w:val="22"/>
          <w:szCs w:val="22"/>
        </w:rPr>
        <w:fldChar w:fldCharType="end"/>
      </w:r>
      <w:r w:rsidR="00473AF0" w:rsidRPr="00473AF0">
        <w:rPr>
          <w:rFonts w:ascii="Times New Roman" w:hAnsi="Times New Roman" w:cs="Times New Roman"/>
          <w:b/>
          <w:bCs/>
          <w:i w:val="0"/>
          <w:iCs w:val="0"/>
          <w:color w:val="auto"/>
          <w:sz w:val="22"/>
          <w:szCs w:val="22"/>
        </w:rPr>
        <w:t xml:space="preserve"> Prisma Flow Diagram</w:t>
      </w:r>
    </w:p>
    <w:p w14:paraId="1DE91145" w14:textId="738676B6"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Data Extraction</w:t>
      </w:r>
    </w:p>
    <w:p w14:paraId="114836A5" w14:textId="67355879"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A standardized data extraction form was created using Microsoft Excel and pilot-tested on a subset of studies. The following data were extracted from each included study:</w:t>
      </w:r>
    </w:p>
    <w:p w14:paraId="1A6522B9" w14:textId="77777777" w:rsidR="00664340" w:rsidRPr="00473AF0" w:rsidRDefault="00664340" w:rsidP="00473AF0">
      <w:pPr>
        <w:numPr>
          <w:ilvl w:val="0"/>
          <w:numId w:val="5"/>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Authors, publication year, and country</w:t>
      </w:r>
    </w:p>
    <w:p w14:paraId="34F1D153" w14:textId="77777777" w:rsidR="00664340" w:rsidRPr="00473AF0" w:rsidRDefault="00664340" w:rsidP="00473AF0">
      <w:pPr>
        <w:numPr>
          <w:ilvl w:val="0"/>
          <w:numId w:val="5"/>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Study design and sample size</w:t>
      </w:r>
    </w:p>
    <w:p w14:paraId="3BF826E2" w14:textId="0443C163" w:rsidR="00664340" w:rsidRPr="00473AF0" w:rsidRDefault="00664340" w:rsidP="00473AF0">
      <w:pPr>
        <w:numPr>
          <w:ilvl w:val="0"/>
          <w:numId w:val="5"/>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Age and gender distribution of pediatric participants</w:t>
      </w:r>
    </w:p>
    <w:p w14:paraId="39F87BC0" w14:textId="41E9F4E9" w:rsidR="00664340" w:rsidRPr="00473AF0" w:rsidRDefault="00664340" w:rsidP="00473AF0">
      <w:pPr>
        <w:numPr>
          <w:ilvl w:val="0"/>
          <w:numId w:val="5"/>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Diagnostic criteria for diabetes and urinary tract infection</w:t>
      </w:r>
    </w:p>
    <w:p w14:paraId="0CB051D0" w14:textId="321A8AB6" w:rsidR="00664340" w:rsidRPr="00473AF0" w:rsidRDefault="00664340" w:rsidP="00473AF0">
      <w:pPr>
        <w:numPr>
          <w:ilvl w:val="0"/>
          <w:numId w:val="5"/>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Prevalence of UTI</w:t>
      </w:r>
    </w:p>
    <w:p w14:paraId="633F62F7" w14:textId="0783F00D" w:rsidR="00664340" w:rsidRPr="00473AF0" w:rsidRDefault="00664340" w:rsidP="00473AF0">
      <w:pPr>
        <w:numPr>
          <w:ilvl w:val="0"/>
          <w:numId w:val="5"/>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Identified risk factors (e.g., sex, BMI, HbA1c, comorbidities)</w:t>
      </w:r>
    </w:p>
    <w:p w14:paraId="11C485BC" w14:textId="7106EC01" w:rsidR="00664340" w:rsidRPr="00473AF0" w:rsidRDefault="00664340" w:rsidP="00473AF0">
      <w:pPr>
        <w:numPr>
          <w:ilvl w:val="0"/>
          <w:numId w:val="5"/>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Microbial profiles and antibiotic resistance data</w:t>
      </w:r>
    </w:p>
    <w:p w14:paraId="3B4B3545" w14:textId="45DF1DAD" w:rsidR="00664340" w:rsidRPr="00473AF0" w:rsidRDefault="00664340" w:rsidP="00473AF0">
      <w:pPr>
        <w:numPr>
          <w:ilvl w:val="0"/>
          <w:numId w:val="5"/>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Statistical measures (e.g., odds ratios, confidence intervals)</w:t>
      </w:r>
    </w:p>
    <w:p w14:paraId="4F4765D7" w14:textId="747DC53C" w:rsidR="00664340" w:rsidRPr="00473AF0" w:rsidRDefault="00664340" w:rsidP="00473AF0">
      <w:pPr>
        <w:numPr>
          <w:ilvl w:val="0"/>
          <w:numId w:val="5"/>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Confounders adjusted for in analysis</w:t>
      </w:r>
    </w:p>
    <w:p w14:paraId="011AD7C7" w14:textId="5C8FE7D3" w:rsidR="0066434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Two reviewers independently extracted data, and a third reviewer verified accuracy and consistency. Any discrepancies were resolved through team discussion.</w:t>
      </w:r>
    </w:p>
    <w:p w14:paraId="6FAE32D4" w14:textId="77777777" w:rsidR="00473AF0" w:rsidRPr="00473AF0" w:rsidRDefault="00473AF0" w:rsidP="00473AF0">
      <w:pPr>
        <w:spacing w:after="0" w:line="240" w:lineRule="auto"/>
        <w:jc w:val="both"/>
        <w:rPr>
          <w:rFonts w:ascii="Times New Roman" w:hAnsi="Times New Roman" w:cs="Times New Roman"/>
          <w:sz w:val="22"/>
          <w:szCs w:val="22"/>
        </w:rPr>
      </w:pPr>
    </w:p>
    <w:p w14:paraId="62C9447C" w14:textId="0ACCFD9C"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Quality Assessment</w:t>
      </w:r>
    </w:p>
    <w:p w14:paraId="5E553E4F" w14:textId="263F4062"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The quality of the included studies was independently evaluated based on their study design:</w:t>
      </w:r>
    </w:p>
    <w:p w14:paraId="074440CF" w14:textId="6DCC5E09" w:rsidR="00664340" w:rsidRPr="00473AF0" w:rsidRDefault="00664340" w:rsidP="00473AF0">
      <w:pPr>
        <w:numPr>
          <w:ilvl w:val="0"/>
          <w:numId w:val="6"/>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For observational studies, the Newcastle-Ottawa Scale (NOS) was applied to assess selection, comparability, and outcome reporting.</w:t>
      </w:r>
    </w:p>
    <w:p w14:paraId="6076EC16" w14:textId="77777777" w:rsidR="00664340" w:rsidRPr="00473AF0" w:rsidRDefault="00664340" w:rsidP="00473AF0">
      <w:pPr>
        <w:numPr>
          <w:ilvl w:val="0"/>
          <w:numId w:val="6"/>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For systematic reviews and meta-analyses, the AMSTAR 2 tool was used to appraise methodological rigor.</w:t>
      </w:r>
    </w:p>
    <w:p w14:paraId="4D4BEC3F" w14:textId="77777777" w:rsidR="00664340" w:rsidRPr="00473AF0" w:rsidRDefault="00664340" w:rsidP="00473AF0">
      <w:pPr>
        <w:numPr>
          <w:ilvl w:val="0"/>
          <w:numId w:val="6"/>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The quality of evidence was classified as high, moderate, or low, based on criteria such as sample representativeness, clarity in defining exposures and outcomes, statistical robustness, and control for confounding factors.</w:t>
      </w:r>
    </w:p>
    <w:p w14:paraId="74B30812" w14:textId="77777777" w:rsidR="0066434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Studies with a low-quality rating were retained but interpreted cautiously within the synthesis.</w:t>
      </w:r>
    </w:p>
    <w:p w14:paraId="35E7844E" w14:textId="77777777" w:rsidR="00473AF0" w:rsidRPr="00473AF0" w:rsidRDefault="00473AF0" w:rsidP="00473AF0">
      <w:pPr>
        <w:spacing w:after="0" w:line="240" w:lineRule="auto"/>
        <w:jc w:val="both"/>
        <w:rPr>
          <w:rFonts w:ascii="Times New Roman" w:hAnsi="Times New Roman" w:cs="Times New Roman"/>
          <w:sz w:val="22"/>
          <w:szCs w:val="22"/>
        </w:rPr>
      </w:pPr>
    </w:p>
    <w:p w14:paraId="0A1598F3"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Data Synthesis</w:t>
      </w:r>
    </w:p>
    <w:p w14:paraId="799950E1"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Due to heterogeneity in population characteristics, outcome definitions, diagnostic protocols for UTI, and statistical reporting across studies, a narrative synthesis approach was adopted. Key findings were grouped and analyzed thematically across three main domains:</w:t>
      </w:r>
    </w:p>
    <w:p w14:paraId="09C0C732" w14:textId="77777777" w:rsidR="00664340" w:rsidRPr="00473AF0" w:rsidRDefault="00664340" w:rsidP="00473AF0">
      <w:pPr>
        <w:numPr>
          <w:ilvl w:val="0"/>
          <w:numId w:val="7"/>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Prevalence of UTI among pediatric diabetics</w:t>
      </w:r>
    </w:p>
    <w:p w14:paraId="43A67B97" w14:textId="77777777" w:rsidR="00664340" w:rsidRPr="00473AF0" w:rsidRDefault="00664340" w:rsidP="00473AF0">
      <w:pPr>
        <w:numPr>
          <w:ilvl w:val="0"/>
          <w:numId w:val="7"/>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Risk factors and demographic associations</w:t>
      </w:r>
    </w:p>
    <w:p w14:paraId="64E0330F" w14:textId="77777777" w:rsidR="00664340" w:rsidRPr="00473AF0" w:rsidRDefault="00664340" w:rsidP="00473AF0">
      <w:pPr>
        <w:numPr>
          <w:ilvl w:val="0"/>
          <w:numId w:val="7"/>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Microbial patterns and antibiotic resistance</w:t>
      </w:r>
    </w:p>
    <w:p w14:paraId="0813B32D" w14:textId="77777777" w:rsidR="0066434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Where data permitted, odds ratios (OR), adjusted odds ratios (AOR), and confidence intervals (CI) were reported for quantifiable risk factors. No meta-analysis was conducted due to the methodological and statistical variability across studies.</w:t>
      </w:r>
    </w:p>
    <w:p w14:paraId="50B78CE9" w14:textId="77777777" w:rsidR="00473AF0" w:rsidRPr="00473AF0" w:rsidRDefault="00473AF0" w:rsidP="00473AF0">
      <w:pPr>
        <w:spacing w:after="0" w:line="240" w:lineRule="auto"/>
        <w:jc w:val="both"/>
        <w:rPr>
          <w:rFonts w:ascii="Times New Roman" w:hAnsi="Times New Roman" w:cs="Times New Roman"/>
          <w:sz w:val="22"/>
          <w:szCs w:val="22"/>
        </w:rPr>
      </w:pPr>
    </w:p>
    <w:p w14:paraId="411A456C"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Ethical Considerations</w:t>
      </w:r>
    </w:p>
    <w:p w14:paraId="27E62038"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As this review relied exclusively on previously published data from peer-reviewed literature, no institutional ethics approval was required. All included studies were assumed to have received ethical clearance from their respective institutions and were conducted in accordance with the Declaration of Helsinki.</w:t>
      </w:r>
    </w:p>
    <w:p w14:paraId="690D6696" w14:textId="77777777" w:rsidR="003B2307" w:rsidRDefault="003B2307" w:rsidP="00473AF0">
      <w:pPr>
        <w:spacing w:after="0" w:line="240" w:lineRule="auto"/>
        <w:jc w:val="both"/>
        <w:rPr>
          <w:rFonts w:ascii="Times New Roman" w:hAnsi="Times New Roman" w:cs="Times New Roman"/>
          <w:b/>
          <w:bCs/>
          <w:sz w:val="22"/>
          <w:szCs w:val="22"/>
        </w:rPr>
      </w:pPr>
    </w:p>
    <w:p w14:paraId="2282AA5A" w14:textId="77777777" w:rsidR="006A22AD" w:rsidRPr="00473AF0" w:rsidRDefault="006A22AD"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Results</w:t>
      </w:r>
    </w:p>
    <w:p w14:paraId="09CE0FB2" w14:textId="77777777" w:rsidR="006A22AD" w:rsidRPr="00473AF0" w:rsidRDefault="006A22AD"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1. Study Designs and Populations</w:t>
      </w:r>
    </w:p>
    <w:p w14:paraId="413CE0B4" w14:textId="77777777" w:rsidR="006A22AD" w:rsidRDefault="006A22AD"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Twelve studies were included in this systematic review, comprising cross-sectional designs, hospital-based observational analyses, and systematic reviews or meta-analyses. Geographic coverage spanned Saudi Arabia, Ethiopia, Pakistan, India, Poland, Iran, and China. While most studies focused on diabetic populations of various ages, four specifically included pediatric subjects (Alrasheedy et al., 2021; Daniel et al., 2023; Alsubaie et al., 2023; Saleem &amp; Daniel, 2011). The remainder covered general diabetic cohorts, including adult and elderly populations, some with comorbid complications such as neuropathy and chronic kidney disease. Sample sizes ranged from 440 to over 827,000 patients.</w:t>
      </w:r>
    </w:p>
    <w:p w14:paraId="2D3ADAB6" w14:textId="77777777" w:rsidR="00473AF0" w:rsidRPr="00473AF0" w:rsidRDefault="00473AF0" w:rsidP="00473AF0">
      <w:pPr>
        <w:spacing w:after="0" w:line="240" w:lineRule="auto"/>
        <w:jc w:val="both"/>
        <w:rPr>
          <w:rFonts w:ascii="Times New Roman" w:hAnsi="Times New Roman" w:cs="Times New Roman"/>
          <w:sz w:val="22"/>
          <w:szCs w:val="22"/>
        </w:rPr>
      </w:pPr>
    </w:p>
    <w:p w14:paraId="57852657" w14:textId="77777777" w:rsidR="006A22AD" w:rsidRPr="00473AF0" w:rsidRDefault="006A22AD"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2. Prevalence of UTI and Demographic Correlates</w:t>
      </w:r>
    </w:p>
    <w:p w14:paraId="2A1CC65A" w14:textId="77777777" w:rsidR="006A22AD" w:rsidRDefault="006A22AD"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UTI prevalence among diabetic individuals ranged from 8.08% (asymptomatic cases) to 39.3% (symptomatic). Ahmed et al. (2023) reported the highest prevalence at 39.3% among diabetic patients in Saudi Arabia. Alrasheedy et al. (2021) found a 25.8% pediatric prevalence in Saudi Arabia, while Aamir et al. (2021) recorded 8.08% asymptomatic bacteriuria in Pakistani Muslim children. In Ethiopia, Tegegne et al. (2023) pooled prevalence was 14.21% among diabetic patients. Age and sex were recurring demographic factors—female sex was consistently linked with higher UTI risk across both pediatric and adult populations. For instance, in Wang et al. (2023), being female had an OR of 4.12 for UTI risk in diabetic neuropathy patients.</w:t>
      </w:r>
    </w:p>
    <w:p w14:paraId="051C4881" w14:textId="77777777" w:rsidR="00473AF0" w:rsidRPr="00473AF0" w:rsidRDefault="00473AF0" w:rsidP="00473AF0">
      <w:pPr>
        <w:spacing w:after="0" w:line="240" w:lineRule="auto"/>
        <w:jc w:val="both"/>
        <w:rPr>
          <w:rFonts w:ascii="Times New Roman" w:hAnsi="Times New Roman" w:cs="Times New Roman"/>
          <w:sz w:val="22"/>
          <w:szCs w:val="22"/>
        </w:rPr>
      </w:pPr>
    </w:p>
    <w:p w14:paraId="2CF23001" w14:textId="77777777" w:rsidR="006A22AD" w:rsidRPr="00473AF0" w:rsidRDefault="006A22AD"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3. Risk Factors for UTI in Diabetic Populations</w:t>
      </w:r>
    </w:p>
    <w:p w14:paraId="622870E0" w14:textId="77777777" w:rsidR="006A22AD" w:rsidRPr="00473AF0" w:rsidRDefault="006A22AD"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Multiple comorbid and demographic risk factors were identified across the studies. Female sex, high BMI, hypertension, prior UTI, and neuropathy were consistently associated with increased UTI prevalence. In Ahmed et al. (2023), female sex had an AOR = 3.45. Wang et al. (2023) reported even higher odds with prior UTI (OR = 45.92), positive urinary nitrite (OR = 32.87), and chronic kidney disease (OR = 3.12). Saleem &amp; Daniel (2011) noted higher UTI prevalence among type 1 diabetic children and those of lower socioeconomic status.</w:t>
      </w:r>
    </w:p>
    <w:p w14:paraId="447F2B66" w14:textId="77777777" w:rsidR="006A22AD" w:rsidRDefault="006A22AD"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Pediatric-specific risk factors included vitamin deficiency (Alrasheedy et al., 2021), congenital anomalies of the urinary tract (Daniel et al., 2023), and female sex (Daniel et al., 2023; Aamir et al., 2021). BMI and insulin therapy were associated with UTI risk in both adult and pediatric studies.</w:t>
      </w:r>
    </w:p>
    <w:p w14:paraId="54771DB2" w14:textId="77777777" w:rsidR="00473AF0" w:rsidRPr="00473AF0" w:rsidRDefault="00473AF0" w:rsidP="00473AF0">
      <w:pPr>
        <w:spacing w:after="0" w:line="240" w:lineRule="auto"/>
        <w:jc w:val="both"/>
        <w:rPr>
          <w:rFonts w:ascii="Times New Roman" w:hAnsi="Times New Roman" w:cs="Times New Roman"/>
          <w:sz w:val="22"/>
          <w:szCs w:val="22"/>
        </w:rPr>
      </w:pPr>
    </w:p>
    <w:p w14:paraId="5DB0C2B7" w14:textId="77777777" w:rsidR="006A22AD" w:rsidRPr="00473AF0" w:rsidRDefault="006A22AD"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4. Symptoms and Microbiology</w:t>
      </w:r>
    </w:p>
    <w:p w14:paraId="3F620A97" w14:textId="045EDB40" w:rsidR="00473AF0" w:rsidRPr="00473AF0" w:rsidRDefault="006A22AD"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Symptoms in pediatric populations were often nonspecific. Daniel et al. (2023) reported that only 16.3% had classical UTI symptoms, with fever (63.4%) being the most common presentation. Burning urination and abdominal pain were common in adult cases (Ahmed et al., 2023). Across all studies, Escherichia coli (E. coli) was the predominant uropathogen, ranging from 52.3% to 74% prevalence. Alsubaie et al. (2023) noted a 26.8% ESBL-producing strain rate. High resistance to antibiotics such as ampicillin (73.2%) and cefazolin (54.6%) was observed, raising concern for treatment efficacy in pediatric UTI management.</w:t>
      </w:r>
    </w:p>
    <w:p w14:paraId="72225F4D" w14:textId="77777777" w:rsidR="006A22AD" w:rsidRPr="00473AF0" w:rsidRDefault="006A22AD"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Table 1: General Characteristics and Findings of Included Studies on UTIs in Pediatric Diabetic Cases</w:t>
      </w:r>
    </w:p>
    <w:tbl>
      <w:tblPr>
        <w:tblStyle w:val="TableGrid"/>
        <w:tblW w:w="0" w:type="auto"/>
        <w:tblLook w:val="04A0" w:firstRow="1" w:lastRow="0" w:firstColumn="1" w:lastColumn="0" w:noHBand="0" w:noVBand="1"/>
      </w:tblPr>
      <w:tblGrid>
        <w:gridCol w:w="1093"/>
        <w:gridCol w:w="912"/>
        <w:gridCol w:w="1345"/>
        <w:gridCol w:w="880"/>
        <w:gridCol w:w="1112"/>
        <w:gridCol w:w="1179"/>
        <w:gridCol w:w="1253"/>
        <w:gridCol w:w="1243"/>
      </w:tblGrid>
      <w:tr w:rsidR="006A22AD" w:rsidRPr="00473AF0" w14:paraId="71687DC5" w14:textId="77777777" w:rsidTr="00664340">
        <w:tc>
          <w:tcPr>
            <w:tcW w:w="0" w:type="auto"/>
            <w:hideMark/>
          </w:tcPr>
          <w:p w14:paraId="2BAEFEB7" w14:textId="77777777" w:rsidR="006A22AD" w:rsidRPr="00473AF0" w:rsidRDefault="006A22AD" w:rsidP="00473AF0">
            <w:pPr>
              <w:rPr>
                <w:rFonts w:ascii="Times New Roman" w:hAnsi="Times New Roman" w:cs="Times New Roman"/>
                <w:b/>
                <w:bCs/>
                <w:sz w:val="22"/>
                <w:szCs w:val="22"/>
              </w:rPr>
            </w:pPr>
            <w:r w:rsidRPr="00473AF0">
              <w:rPr>
                <w:rFonts w:ascii="Times New Roman" w:hAnsi="Times New Roman" w:cs="Times New Roman"/>
                <w:b/>
                <w:bCs/>
                <w:sz w:val="22"/>
                <w:szCs w:val="22"/>
              </w:rPr>
              <w:t>Study</w:t>
            </w:r>
          </w:p>
        </w:tc>
        <w:tc>
          <w:tcPr>
            <w:tcW w:w="0" w:type="auto"/>
            <w:hideMark/>
          </w:tcPr>
          <w:p w14:paraId="736E8220" w14:textId="77777777" w:rsidR="006A22AD" w:rsidRPr="00473AF0" w:rsidRDefault="006A22AD" w:rsidP="00473AF0">
            <w:pPr>
              <w:rPr>
                <w:rFonts w:ascii="Times New Roman" w:hAnsi="Times New Roman" w:cs="Times New Roman"/>
                <w:b/>
                <w:bCs/>
                <w:sz w:val="22"/>
                <w:szCs w:val="22"/>
              </w:rPr>
            </w:pPr>
            <w:r w:rsidRPr="00473AF0">
              <w:rPr>
                <w:rFonts w:ascii="Times New Roman" w:hAnsi="Times New Roman" w:cs="Times New Roman"/>
                <w:b/>
                <w:bCs/>
                <w:sz w:val="22"/>
                <w:szCs w:val="22"/>
              </w:rPr>
              <w:t>Country</w:t>
            </w:r>
          </w:p>
        </w:tc>
        <w:tc>
          <w:tcPr>
            <w:tcW w:w="0" w:type="auto"/>
            <w:hideMark/>
          </w:tcPr>
          <w:p w14:paraId="7183090C" w14:textId="77777777" w:rsidR="006A22AD" w:rsidRPr="00473AF0" w:rsidRDefault="006A22AD" w:rsidP="00473AF0">
            <w:pPr>
              <w:rPr>
                <w:rFonts w:ascii="Times New Roman" w:hAnsi="Times New Roman" w:cs="Times New Roman"/>
                <w:b/>
                <w:bCs/>
                <w:sz w:val="22"/>
                <w:szCs w:val="22"/>
              </w:rPr>
            </w:pPr>
            <w:r w:rsidRPr="00473AF0">
              <w:rPr>
                <w:rFonts w:ascii="Times New Roman" w:hAnsi="Times New Roman" w:cs="Times New Roman"/>
                <w:b/>
                <w:bCs/>
                <w:sz w:val="22"/>
                <w:szCs w:val="22"/>
              </w:rPr>
              <w:t>Design &amp; Population</w:t>
            </w:r>
          </w:p>
        </w:tc>
        <w:tc>
          <w:tcPr>
            <w:tcW w:w="0" w:type="auto"/>
            <w:hideMark/>
          </w:tcPr>
          <w:p w14:paraId="4AFF0247" w14:textId="77777777" w:rsidR="006A22AD" w:rsidRPr="00473AF0" w:rsidRDefault="006A22AD" w:rsidP="00473AF0">
            <w:pPr>
              <w:rPr>
                <w:rFonts w:ascii="Times New Roman" w:hAnsi="Times New Roman" w:cs="Times New Roman"/>
                <w:b/>
                <w:bCs/>
                <w:sz w:val="22"/>
                <w:szCs w:val="22"/>
              </w:rPr>
            </w:pPr>
            <w:r w:rsidRPr="00473AF0">
              <w:rPr>
                <w:rFonts w:ascii="Times New Roman" w:hAnsi="Times New Roman" w:cs="Times New Roman"/>
                <w:b/>
                <w:bCs/>
                <w:sz w:val="22"/>
                <w:szCs w:val="22"/>
              </w:rPr>
              <w:t>Sample Size</w:t>
            </w:r>
          </w:p>
        </w:tc>
        <w:tc>
          <w:tcPr>
            <w:tcW w:w="0" w:type="auto"/>
            <w:hideMark/>
          </w:tcPr>
          <w:p w14:paraId="34072D71" w14:textId="77777777" w:rsidR="006A22AD" w:rsidRPr="00473AF0" w:rsidRDefault="006A22AD" w:rsidP="00473AF0">
            <w:pPr>
              <w:rPr>
                <w:rFonts w:ascii="Times New Roman" w:hAnsi="Times New Roman" w:cs="Times New Roman"/>
                <w:b/>
                <w:bCs/>
                <w:sz w:val="22"/>
                <w:szCs w:val="22"/>
              </w:rPr>
            </w:pPr>
            <w:r w:rsidRPr="00473AF0">
              <w:rPr>
                <w:rFonts w:ascii="Times New Roman" w:hAnsi="Times New Roman" w:cs="Times New Roman"/>
                <w:b/>
                <w:bCs/>
                <w:sz w:val="22"/>
                <w:szCs w:val="22"/>
              </w:rPr>
              <w:t>UTI Prevalence (%)</w:t>
            </w:r>
          </w:p>
        </w:tc>
        <w:tc>
          <w:tcPr>
            <w:tcW w:w="0" w:type="auto"/>
            <w:hideMark/>
          </w:tcPr>
          <w:p w14:paraId="1267251D" w14:textId="77777777" w:rsidR="006A22AD" w:rsidRPr="00473AF0" w:rsidRDefault="006A22AD" w:rsidP="00473AF0">
            <w:pPr>
              <w:rPr>
                <w:rFonts w:ascii="Times New Roman" w:hAnsi="Times New Roman" w:cs="Times New Roman"/>
                <w:b/>
                <w:bCs/>
                <w:sz w:val="22"/>
                <w:szCs w:val="22"/>
              </w:rPr>
            </w:pPr>
            <w:r w:rsidRPr="00473AF0">
              <w:rPr>
                <w:rFonts w:ascii="Times New Roman" w:hAnsi="Times New Roman" w:cs="Times New Roman"/>
                <w:b/>
                <w:bCs/>
                <w:sz w:val="22"/>
                <w:szCs w:val="22"/>
              </w:rPr>
              <w:t>Risk Factors</w:t>
            </w:r>
          </w:p>
        </w:tc>
        <w:tc>
          <w:tcPr>
            <w:tcW w:w="0" w:type="auto"/>
            <w:hideMark/>
          </w:tcPr>
          <w:p w14:paraId="1A0793F1" w14:textId="77777777" w:rsidR="006A22AD" w:rsidRPr="00473AF0" w:rsidRDefault="006A22AD" w:rsidP="00473AF0">
            <w:pPr>
              <w:rPr>
                <w:rFonts w:ascii="Times New Roman" w:hAnsi="Times New Roman" w:cs="Times New Roman"/>
                <w:b/>
                <w:bCs/>
                <w:sz w:val="22"/>
                <w:szCs w:val="22"/>
              </w:rPr>
            </w:pPr>
            <w:r w:rsidRPr="00473AF0">
              <w:rPr>
                <w:rFonts w:ascii="Times New Roman" w:hAnsi="Times New Roman" w:cs="Times New Roman"/>
                <w:b/>
                <w:bCs/>
                <w:sz w:val="22"/>
                <w:szCs w:val="22"/>
              </w:rPr>
              <w:t>Common Pathogens</w:t>
            </w:r>
          </w:p>
        </w:tc>
        <w:tc>
          <w:tcPr>
            <w:tcW w:w="0" w:type="auto"/>
            <w:hideMark/>
          </w:tcPr>
          <w:p w14:paraId="2FC34630" w14:textId="77777777" w:rsidR="006A22AD" w:rsidRPr="00473AF0" w:rsidRDefault="006A22AD" w:rsidP="00473AF0">
            <w:pPr>
              <w:rPr>
                <w:rFonts w:ascii="Times New Roman" w:hAnsi="Times New Roman" w:cs="Times New Roman"/>
                <w:b/>
                <w:bCs/>
                <w:sz w:val="22"/>
                <w:szCs w:val="22"/>
              </w:rPr>
            </w:pPr>
            <w:r w:rsidRPr="00473AF0">
              <w:rPr>
                <w:rFonts w:ascii="Times New Roman" w:hAnsi="Times New Roman" w:cs="Times New Roman"/>
                <w:b/>
                <w:bCs/>
                <w:sz w:val="22"/>
                <w:szCs w:val="22"/>
              </w:rPr>
              <w:t>Notes</w:t>
            </w:r>
          </w:p>
        </w:tc>
      </w:tr>
      <w:tr w:rsidR="006A22AD" w:rsidRPr="00473AF0" w14:paraId="0E13FAB8" w14:textId="77777777" w:rsidTr="00664340">
        <w:tc>
          <w:tcPr>
            <w:tcW w:w="0" w:type="auto"/>
            <w:hideMark/>
          </w:tcPr>
          <w:p w14:paraId="50ADE2B4"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Ahmed et al. (2023)</w:t>
            </w:r>
          </w:p>
        </w:tc>
        <w:tc>
          <w:tcPr>
            <w:tcW w:w="0" w:type="auto"/>
            <w:hideMark/>
          </w:tcPr>
          <w:p w14:paraId="39DF0236"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Saudi Arabia</w:t>
            </w:r>
          </w:p>
        </w:tc>
        <w:tc>
          <w:tcPr>
            <w:tcW w:w="0" w:type="auto"/>
            <w:hideMark/>
          </w:tcPr>
          <w:p w14:paraId="3B649DE5"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Cross-sectional, diabetic adults</w:t>
            </w:r>
          </w:p>
        </w:tc>
        <w:tc>
          <w:tcPr>
            <w:tcW w:w="0" w:type="auto"/>
            <w:hideMark/>
          </w:tcPr>
          <w:p w14:paraId="1E0A3096"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440</w:t>
            </w:r>
          </w:p>
        </w:tc>
        <w:tc>
          <w:tcPr>
            <w:tcW w:w="0" w:type="auto"/>
            <w:hideMark/>
          </w:tcPr>
          <w:p w14:paraId="07F6AE88"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39.3%</w:t>
            </w:r>
          </w:p>
        </w:tc>
        <w:tc>
          <w:tcPr>
            <w:tcW w:w="0" w:type="auto"/>
            <w:hideMark/>
          </w:tcPr>
          <w:p w14:paraId="1D924830"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Female (AOR = 3.45), BMI, HTN</w:t>
            </w:r>
          </w:p>
        </w:tc>
        <w:tc>
          <w:tcPr>
            <w:tcW w:w="0" w:type="auto"/>
            <w:hideMark/>
          </w:tcPr>
          <w:p w14:paraId="0FE8166F"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Not specified</w:t>
            </w:r>
          </w:p>
        </w:tc>
        <w:tc>
          <w:tcPr>
            <w:tcW w:w="0" w:type="auto"/>
            <w:hideMark/>
          </w:tcPr>
          <w:p w14:paraId="55B14E41"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UTI prevalence varied by DM type</w:t>
            </w:r>
          </w:p>
        </w:tc>
      </w:tr>
      <w:tr w:rsidR="006A22AD" w:rsidRPr="00473AF0" w14:paraId="232639A1" w14:textId="77777777" w:rsidTr="00664340">
        <w:tc>
          <w:tcPr>
            <w:tcW w:w="0" w:type="auto"/>
            <w:hideMark/>
          </w:tcPr>
          <w:p w14:paraId="2F8615EC"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Alrasheedy et al. (2021)</w:t>
            </w:r>
          </w:p>
        </w:tc>
        <w:tc>
          <w:tcPr>
            <w:tcW w:w="0" w:type="auto"/>
            <w:hideMark/>
          </w:tcPr>
          <w:p w14:paraId="4603D799"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Saudi Arabia</w:t>
            </w:r>
          </w:p>
        </w:tc>
        <w:tc>
          <w:tcPr>
            <w:tcW w:w="0" w:type="auto"/>
            <w:hideMark/>
          </w:tcPr>
          <w:p w14:paraId="1C72F2C2"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Cross-sectional, pediatric</w:t>
            </w:r>
          </w:p>
        </w:tc>
        <w:tc>
          <w:tcPr>
            <w:tcW w:w="0" w:type="auto"/>
            <w:hideMark/>
          </w:tcPr>
          <w:p w14:paraId="00D7BEB8"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1083</w:t>
            </w:r>
          </w:p>
        </w:tc>
        <w:tc>
          <w:tcPr>
            <w:tcW w:w="0" w:type="auto"/>
            <w:hideMark/>
          </w:tcPr>
          <w:p w14:paraId="6FBC3BD5"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25.8%</w:t>
            </w:r>
          </w:p>
        </w:tc>
        <w:tc>
          <w:tcPr>
            <w:tcW w:w="0" w:type="auto"/>
            <w:hideMark/>
          </w:tcPr>
          <w:p w14:paraId="235053EA"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Female, vitamin deficiency</w:t>
            </w:r>
          </w:p>
        </w:tc>
        <w:tc>
          <w:tcPr>
            <w:tcW w:w="0" w:type="auto"/>
            <w:hideMark/>
          </w:tcPr>
          <w:p w14:paraId="5BB00ED9"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Not specified</w:t>
            </w:r>
          </w:p>
        </w:tc>
        <w:tc>
          <w:tcPr>
            <w:tcW w:w="0" w:type="auto"/>
            <w:hideMark/>
          </w:tcPr>
          <w:p w14:paraId="0C3688AE"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Western region had highest cases</w:t>
            </w:r>
          </w:p>
        </w:tc>
      </w:tr>
      <w:tr w:rsidR="006A22AD" w:rsidRPr="00473AF0" w14:paraId="33071565" w14:textId="77777777" w:rsidTr="00664340">
        <w:tc>
          <w:tcPr>
            <w:tcW w:w="0" w:type="auto"/>
            <w:hideMark/>
          </w:tcPr>
          <w:p w14:paraId="0C7D94BB"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Wang et al. (2023)</w:t>
            </w:r>
          </w:p>
        </w:tc>
        <w:tc>
          <w:tcPr>
            <w:tcW w:w="0" w:type="auto"/>
            <w:hideMark/>
          </w:tcPr>
          <w:p w14:paraId="48BF8919"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China</w:t>
            </w:r>
          </w:p>
        </w:tc>
        <w:tc>
          <w:tcPr>
            <w:tcW w:w="0" w:type="auto"/>
            <w:hideMark/>
          </w:tcPr>
          <w:p w14:paraId="76FB62A3"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Hospital-based, diabetic neuropathy</w:t>
            </w:r>
          </w:p>
        </w:tc>
        <w:tc>
          <w:tcPr>
            <w:tcW w:w="0" w:type="auto"/>
            <w:hideMark/>
          </w:tcPr>
          <w:p w14:paraId="25041043"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579</w:t>
            </w:r>
          </w:p>
        </w:tc>
        <w:tc>
          <w:tcPr>
            <w:tcW w:w="0" w:type="auto"/>
            <w:hideMark/>
          </w:tcPr>
          <w:p w14:paraId="27F0965C"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Not explicitly reported</w:t>
            </w:r>
          </w:p>
        </w:tc>
        <w:tc>
          <w:tcPr>
            <w:tcW w:w="0" w:type="auto"/>
            <w:hideMark/>
          </w:tcPr>
          <w:p w14:paraId="53C50DDB"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Female (OR = 4.12), CKD (OR = 3.12), UTI history (OR = 45.92)</w:t>
            </w:r>
          </w:p>
        </w:tc>
        <w:tc>
          <w:tcPr>
            <w:tcW w:w="0" w:type="auto"/>
            <w:hideMark/>
          </w:tcPr>
          <w:p w14:paraId="49B15A82"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Not specified</w:t>
            </w:r>
          </w:p>
        </w:tc>
        <w:tc>
          <w:tcPr>
            <w:tcW w:w="0" w:type="auto"/>
            <w:hideMark/>
          </w:tcPr>
          <w:p w14:paraId="33E9FFCC"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Positive nitrite (OR = 32.87)</w:t>
            </w:r>
          </w:p>
        </w:tc>
      </w:tr>
      <w:tr w:rsidR="006A22AD" w:rsidRPr="00473AF0" w14:paraId="393F041B" w14:textId="77777777" w:rsidTr="00664340">
        <w:tc>
          <w:tcPr>
            <w:tcW w:w="0" w:type="auto"/>
            <w:hideMark/>
          </w:tcPr>
          <w:p w14:paraId="31CC86D4"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Tegegne et al. (2023)</w:t>
            </w:r>
          </w:p>
        </w:tc>
        <w:tc>
          <w:tcPr>
            <w:tcW w:w="0" w:type="auto"/>
            <w:hideMark/>
          </w:tcPr>
          <w:p w14:paraId="0E5D4344"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Ethiopia</w:t>
            </w:r>
          </w:p>
        </w:tc>
        <w:tc>
          <w:tcPr>
            <w:tcW w:w="0" w:type="auto"/>
            <w:hideMark/>
          </w:tcPr>
          <w:p w14:paraId="2AEA4FC9"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Systematic review/meta-analysis</w:t>
            </w:r>
          </w:p>
        </w:tc>
        <w:tc>
          <w:tcPr>
            <w:tcW w:w="0" w:type="auto"/>
            <w:hideMark/>
          </w:tcPr>
          <w:p w14:paraId="7A03A1D1"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N/A</w:t>
            </w:r>
          </w:p>
        </w:tc>
        <w:tc>
          <w:tcPr>
            <w:tcW w:w="0" w:type="auto"/>
            <w:hideMark/>
          </w:tcPr>
          <w:p w14:paraId="7863B9EC"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14.21% (DM)</w:t>
            </w:r>
          </w:p>
        </w:tc>
        <w:tc>
          <w:tcPr>
            <w:tcW w:w="0" w:type="auto"/>
            <w:hideMark/>
          </w:tcPr>
          <w:p w14:paraId="24E07B43"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Female (AOR = 0.88), prior UTI (OR = 3.52), catheter</w:t>
            </w:r>
          </w:p>
        </w:tc>
        <w:tc>
          <w:tcPr>
            <w:tcW w:w="0" w:type="auto"/>
            <w:hideMark/>
          </w:tcPr>
          <w:p w14:paraId="52E57BCD"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Not specified</w:t>
            </w:r>
          </w:p>
        </w:tc>
        <w:tc>
          <w:tcPr>
            <w:tcW w:w="0" w:type="auto"/>
            <w:hideMark/>
          </w:tcPr>
          <w:p w14:paraId="48CB45BB"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Oromia had highest prevalence</w:t>
            </w:r>
          </w:p>
        </w:tc>
      </w:tr>
      <w:tr w:rsidR="006A22AD" w:rsidRPr="00473AF0" w14:paraId="159BF1E8" w14:textId="77777777" w:rsidTr="00664340">
        <w:tc>
          <w:tcPr>
            <w:tcW w:w="0" w:type="auto"/>
            <w:hideMark/>
          </w:tcPr>
          <w:p w14:paraId="418D4C3C"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Daniel et al. (2023)</w:t>
            </w:r>
          </w:p>
        </w:tc>
        <w:tc>
          <w:tcPr>
            <w:tcW w:w="0" w:type="auto"/>
            <w:hideMark/>
          </w:tcPr>
          <w:p w14:paraId="64B27E20"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Poland</w:t>
            </w:r>
          </w:p>
        </w:tc>
        <w:tc>
          <w:tcPr>
            <w:tcW w:w="0" w:type="auto"/>
            <w:hideMark/>
          </w:tcPr>
          <w:p w14:paraId="2E9D73C8"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Pediatric observation (APN/CYS)</w:t>
            </w:r>
          </w:p>
        </w:tc>
        <w:tc>
          <w:tcPr>
            <w:tcW w:w="0" w:type="auto"/>
            <w:hideMark/>
          </w:tcPr>
          <w:p w14:paraId="696F978C"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948</w:t>
            </w:r>
          </w:p>
        </w:tc>
        <w:tc>
          <w:tcPr>
            <w:tcW w:w="0" w:type="auto"/>
            <w:hideMark/>
          </w:tcPr>
          <w:p w14:paraId="7915B22B"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Not specified</w:t>
            </w:r>
          </w:p>
        </w:tc>
        <w:tc>
          <w:tcPr>
            <w:tcW w:w="0" w:type="auto"/>
            <w:hideMark/>
          </w:tcPr>
          <w:p w14:paraId="5061136E"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CAKUT, age &lt; 2 years</w:t>
            </w:r>
          </w:p>
        </w:tc>
        <w:tc>
          <w:tcPr>
            <w:tcW w:w="0" w:type="auto"/>
            <w:hideMark/>
          </w:tcPr>
          <w:p w14:paraId="37334DE2"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E. coli (74%), Klebsiella</w:t>
            </w:r>
          </w:p>
        </w:tc>
        <w:tc>
          <w:tcPr>
            <w:tcW w:w="0" w:type="auto"/>
            <w:hideMark/>
          </w:tcPr>
          <w:p w14:paraId="463FB8A8"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Fever most common symptom</w:t>
            </w:r>
          </w:p>
        </w:tc>
      </w:tr>
      <w:tr w:rsidR="006A22AD" w:rsidRPr="00473AF0" w14:paraId="54E5CD7F" w14:textId="77777777" w:rsidTr="00664340">
        <w:tc>
          <w:tcPr>
            <w:tcW w:w="0" w:type="auto"/>
            <w:hideMark/>
          </w:tcPr>
          <w:p w14:paraId="1A9C01D6"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Alsubaie et al. (2023)</w:t>
            </w:r>
          </w:p>
        </w:tc>
        <w:tc>
          <w:tcPr>
            <w:tcW w:w="0" w:type="auto"/>
            <w:hideMark/>
          </w:tcPr>
          <w:p w14:paraId="6DFF3D31"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Saudi Arabia</w:t>
            </w:r>
          </w:p>
        </w:tc>
        <w:tc>
          <w:tcPr>
            <w:tcW w:w="0" w:type="auto"/>
            <w:hideMark/>
          </w:tcPr>
          <w:p w14:paraId="73DB6175"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Pediatric AMR study</w:t>
            </w:r>
          </w:p>
        </w:tc>
        <w:tc>
          <w:tcPr>
            <w:tcW w:w="0" w:type="auto"/>
            <w:hideMark/>
          </w:tcPr>
          <w:p w14:paraId="4236ABA2"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510 UTI episodes</w:t>
            </w:r>
          </w:p>
        </w:tc>
        <w:tc>
          <w:tcPr>
            <w:tcW w:w="0" w:type="auto"/>
            <w:hideMark/>
          </w:tcPr>
          <w:p w14:paraId="46632F82"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Not stated</w:t>
            </w:r>
          </w:p>
        </w:tc>
        <w:tc>
          <w:tcPr>
            <w:tcW w:w="0" w:type="auto"/>
            <w:hideMark/>
          </w:tcPr>
          <w:p w14:paraId="662256E8"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N/A</w:t>
            </w:r>
          </w:p>
        </w:tc>
        <w:tc>
          <w:tcPr>
            <w:tcW w:w="0" w:type="auto"/>
            <w:hideMark/>
          </w:tcPr>
          <w:p w14:paraId="4E6CE376"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E. coli (54.5%), ESBL 26.8%</w:t>
            </w:r>
          </w:p>
        </w:tc>
        <w:tc>
          <w:tcPr>
            <w:tcW w:w="0" w:type="auto"/>
            <w:hideMark/>
          </w:tcPr>
          <w:p w14:paraId="425F1643"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73.2% resistant to ampicillin</w:t>
            </w:r>
          </w:p>
        </w:tc>
      </w:tr>
      <w:tr w:rsidR="006A22AD" w:rsidRPr="00473AF0" w14:paraId="16C34255" w14:textId="77777777" w:rsidTr="00664340">
        <w:tc>
          <w:tcPr>
            <w:tcW w:w="0" w:type="auto"/>
            <w:hideMark/>
          </w:tcPr>
          <w:p w14:paraId="0F097414"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Al-Rubeaan et al. (2013)</w:t>
            </w:r>
          </w:p>
        </w:tc>
        <w:tc>
          <w:tcPr>
            <w:tcW w:w="0" w:type="auto"/>
            <w:hideMark/>
          </w:tcPr>
          <w:p w14:paraId="78B6EF2A"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Saudi Arabia</w:t>
            </w:r>
          </w:p>
        </w:tc>
        <w:tc>
          <w:tcPr>
            <w:tcW w:w="0" w:type="auto"/>
            <w:hideMark/>
          </w:tcPr>
          <w:p w14:paraId="1D021E8A"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Cross-sectional, diabetic adults</w:t>
            </w:r>
          </w:p>
        </w:tc>
        <w:tc>
          <w:tcPr>
            <w:tcW w:w="0" w:type="auto"/>
            <w:hideMark/>
          </w:tcPr>
          <w:p w14:paraId="755A4668"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1000</w:t>
            </w:r>
          </w:p>
        </w:tc>
        <w:tc>
          <w:tcPr>
            <w:tcW w:w="0" w:type="auto"/>
            <w:hideMark/>
          </w:tcPr>
          <w:p w14:paraId="234BFF6A"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25.3%</w:t>
            </w:r>
          </w:p>
        </w:tc>
        <w:tc>
          <w:tcPr>
            <w:tcW w:w="0" w:type="auto"/>
            <w:hideMark/>
          </w:tcPr>
          <w:p w14:paraId="35925442"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Female (RR = 6.10), BMI &gt; 30, nephropathy</w:t>
            </w:r>
          </w:p>
        </w:tc>
        <w:tc>
          <w:tcPr>
            <w:tcW w:w="0" w:type="auto"/>
            <w:hideMark/>
          </w:tcPr>
          <w:p w14:paraId="49B73E25"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Not specified</w:t>
            </w:r>
          </w:p>
        </w:tc>
        <w:tc>
          <w:tcPr>
            <w:tcW w:w="0" w:type="auto"/>
            <w:hideMark/>
          </w:tcPr>
          <w:p w14:paraId="15D7E6F0"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Type 1 vs 2 DM: no significant diff.</w:t>
            </w:r>
          </w:p>
        </w:tc>
      </w:tr>
      <w:tr w:rsidR="006A22AD" w:rsidRPr="00473AF0" w14:paraId="79DD19D2" w14:textId="77777777" w:rsidTr="00664340">
        <w:tc>
          <w:tcPr>
            <w:tcW w:w="0" w:type="auto"/>
            <w:hideMark/>
          </w:tcPr>
          <w:p w14:paraId="5BD472BF"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Girma et al. (2023)</w:t>
            </w:r>
          </w:p>
        </w:tc>
        <w:tc>
          <w:tcPr>
            <w:tcW w:w="0" w:type="auto"/>
            <w:hideMark/>
          </w:tcPr>
          <w:p w14:paraId="0042E840"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Ethiopia</w:t>
            </w:r>
          </w:p>
        </w:tc>
        <w:tc>
          <w:tcPr>
            <w:tcW w:w="0" w:type="auto"/>
            <w:hideMark/>
          </w:tcPr>
          <w:p w14:paraId="21D49114"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Systematic review/meta-analysis</w:t>
            </w:r>
          </w:p>
        </w:tc>
        <w:tc>
          <w:tcPr>
            <w:tcW w:w="0" w:type="auto"/>
            <w:hideMark/>
          </w:tcPr>
          <w:p w14:paraId="72CE7E16"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N/A</w:t>
            </w:r>
          </w:p>
        </w:tc>
        <w:tc>
          <w:tcPr>
            <w:tcW w:w="0" w:type="auto"/>
            <w:hideMark/>
          </w:tcPr>
          <w:p w14:paraId="76C807B4"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14.5%</w:t>
            </w:r>
          </w:p>
        </w:tc>
        <w:tc>
          <w:tcPr>
            <w:tcW w:w="0" w:type="auto"/>
            <w:hideMark/>
          </w:tcPr>
          <w:p w14:paraId="72DC6C04"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Catheter, prior UTI, female sex</w:t>
            </w:r>
          </w:p>
        </w:tc>
        <w:tc>
          <w:tcPr>
            <w:tcW w:w="0" w:type="auto"/>
            <w:hideMark/>
          </w:tcPr>
          <w:p w14:paraId="0D28B763"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Not specified</w:t>
            </w:r>
          </w:p>
        </w:tc>
        <w:tc>
          <w:tcPr>
            <w:tcW w:w="0" w:type="auto"/>
            <w:hideMark/>
          </w:tcPr>
          <w:p w14:paraId="6E101406"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Similar to Tegegne et al. (2023)</w:t>
            </w:r>
          </w:p>
        </w:tc>
      </w:tr>
      <w:tr w:rsidR="006A22AD" w:rsidRPr="00473AF0" w14:paraId="3377266A" w14:textId="77777777" w:rsidTr="00664340">
        <w:tc>
          <w:tcPr>
            <w:tcW w:w="0" w:type="auto"/>
            <w:hideMark/>
          </w:tcPr>
          <w:p w14:paraId="32348001"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Ramrakhia et al. (2020)</w:t>
            </w:r>
          </w:p>
        </w:tc>
        <w:tc>
          <w:tcPr>
            <w:tcW w:w="0" w:type="auto"/>
            <w:hideMark/>
          </w:tcPr>
          <w:p w14:paraId="231F83CD"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Pakistan</w:t>
            </w:r>
          </w:p>
        </w:tc>
        <w:tc>
          <w:tcPr>
            <w:tcW w:w="0" w:type="auto"/>
            <w:hideMark/>
          </w:tcPr>
          <w:p w14:paraId="0B10165C"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Cross-sectional, diabetic vs non-DM</w:t>
            </w:r>
          </w:p>
        </w:tc>
        <w:tc>
          <w:tcPr>
            <w:tcW w:w="0" w:type="auto"/>
            <w:hideMark/>
          </w:tcPr>
          <w:p w14:paraId="03367475"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~1000</w:t>
            </w:r>
          </w:p>
        </w:tc>
        <w:tc>
          <w:tcPr>
            <w:tcW w:w="0" w:type="auto"/>
            <w:hideMark/>
          </w:tcPr>
          <w:p w14:paraId="5B1E6659"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13.67% (DM), 6.4% (non-DM)</w:t>
            </w:r>
          </w:p>
        </w:tc>
        <w:tc>
          <w:tcPr>
            <w:tcW w:w="0" w:type="auto"/>
            <w:hideMark/>
          </w:tcPr>
          <w:p w14:paraId="384946DE"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Diabetes status</w:t>
            </w:r>
          </w:p>
        </w:tc>
        <w:tc>
          <w:tcPr>
            <w:tcW w:w="0" w:type="auto"/>
            <w:hideMark/>
          </w:tcPr>
          <w:p w14:paraId="6E3077A8"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E. coli (60%), Klebsiella</w:t>
            </w:r>
          </w:p>
        </w:tc>
        <w:tc>
          <w:tcPr>
            <w:tcW w:w="0" w:type="auto"/>
            <w:hideMark/>
          </w:tcPr>
          <w:p w14:paraId="546B4D09"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P = 0.004 vs non-DM group</w:t>
            </w:r>
          </w:p>
        </w:tc>
      </w:tr>
      <w:tr w:rsidR="006A22AD" w:rsidRPr="00473AF0" w14:paraId="65EDCD47" w14:textId="77777777" w:rsidTr="00473AF0">
        <w:trPr>
          <w:trHeight w:val="841"/>
        </w:trPr>
        <w:tc>
          <w:tcPr>
            <w:tcW w:w="0" w:type="auto"/>
            <w:hideMark/>
          </w:tcPr>
          <w:p w14:paraId="7D0989AB"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Salari et al. (2022)</w:t>
            </w:r>
          </w:p>
        </w:tc>
        <w:tc>
          <w:tcPr>
            <w:tcW w:w="0" w:type="auto"/>
            <w:hideMark/>
          </w:tcPr>
          <w:p w14:paraId="71F36B2A"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Iran</w:t>
            </w:r>
          </w:p>
        </w:tc>
        <w:tc>
          <w:tcPr>
            <w:tcW w:w="0" w:type="auto"/>
            <w:hideMark/>
          </w:tcPr>
          <w:p w14:paraId="226328D0"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Meta-analysis (T2DM only)</w:t>
            </w:r>
          </w:p>
        </w:tc>
        <w:tc>
          <w:tcPr>
            <w:tcW w:w="0" w:type="auto"/>
            <w:hideMark/>
          </w:tcPr>
          <w:p w14:paraId="51218575"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827,948</w:t>
            </w:r>
          </w:p>
        </w:tc>
        <w:tc>
          <w:tcPr>
            <w:tcW w:w="0" w:type="auto"/>
            <w:hideMark/>
          </w:tcPr>
          <w:p w14:paraId="0E09C7CD"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11.5%</w:t>
            </w:r>
          </w:p>
        </w:tc>
        <w:tc>
          <w:tcPr>
            <w:tcW w:w="0" w:type="auto"/>
            <w:hideMark/>
          </w:tcPr>
          <w:p w14:paraId="2842C556"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Older age, DM duration</w:t>
            </w:r>
          </w:p>
        </w:tc>
        <w:tc>
          <w:tcPr>
            <w:tcW w:w="0" w:type="auto"/>
            <w:hideMark/>
          </w:tcPr>
          <w:p w14:paraId="2499411F"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Not reported</w:t>
            </w:r>
          </w:p>
        </w:tc>
        <w:tc>
          <w:tcPr>
            <w:tcW w:w="0" w:type="auto"/>
            <w:hideMark/>
          </w:tcPr>
          <w:p w14:paraId="266403AD"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Prevalence ↑ with study year</w:t>
            </w:r>
          </w:p>
        </w:tc>
      </w:tr>
      <w:tr w:rsidR="006A22AD" w:rsidRPr="00473AF0" w14:paraId="419A4ADD" w14:textId="77777777" w:rsidTr="00664340">
        <w:tc>
          <w:tcPr>
            <w:tcW w:w="0" w:type="auto"/>
            <w:hideMark/>
          </w:tcPr>
          <w:p w14:paraId="6EE8F6EE"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Aamir et al. (2021)</w:t>
            </w:r>
          </w:p>
        </w:tc>
        <w:tc>
          <w:tcPr>
            <w:tcW w:w="0" w:type="auto"/>
            <w:hideMark/>
          </w:tcPr>
          <w:p w14:paraId="7A55F601" w14:textId="77777777" w:rsidR="006A22AD" w:rsidRPr="00473AF0" w:rsidRDefault="006A22AD" w:rsidP="00473AF0">
            <w:pPr>
              <w:jc w:val="both"/>
              <w:rPr>
                <w:rFonts w:ascii="Times New Roman" w:hAnsi="Times New Roman" w:cs="Times New Roman"/>
                <w:sz w:val="22"/>
                <w:szCs w:val="22"/>
              </w:rPr>
            </w:pPr>
            <w:r w:rsidRPr="00473AF0">
              <w:rPr>
                <w:rFonts w:ascii="Times New Roman" w:hAnsi="Times New Roman" w:cs="Times New Roman"/>
                <w:sz w:val="22"/>
                <w:szCs w:val="22"/>
              </w:rPr>
              <w:t>Pakistan</w:t>
            </w:r>
          </w:p>
        </w:tc>
        <w:tc>
          <w:tcPr>
            <w:tcW w:w="0" w:type="auto"/>
            <w:hideMark/>
          </w:tcPr>
          <w:p w14:paraId="4ECB73C8"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Multicenter, asymptomatic T2DM</w:t>
            </w:r>
          </w:p>
        </w:tc>
        <w:tc>
          <w:tcPr>
            <w:tcW w:w="0" w:type="auto"/>
            <w:hideMark/>
          </w:tcPr>
          <w:p w14:paraId="6E259D64"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545</w:t>
            </w:r>
          </w:p>
        </w:tc>
        <w:tc>
          <w:tcPr>
            <w:tcW w:w="0" w:type="auto"/>
            <w:hideMark/>
          </w:tcPr>
          <w:p w14:paraId="3413E816"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8.08%</w:t>
            </w:r>
          </w:p>
        </w:tc>
        <w:tc>
          <w:tcPr>
            <w:tcW w:w="0" w:type="auto"/>
            <w:hideMark/>
          </w:tcPr>
          <w:p w14:paraId="7ABB570D"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Female (77.3%), age &gt; 40</w:t>
            </w:r>
          </w:p>
        </w:tc>
        <w:tc>
          <w:tcPr>
            <w:tcW w:w="0" w:type="auto"/>
            <w:hideMark/>
          </w:tcPr>
          <w:p w14:paraId="00077D5F"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E. coli (52.3%)</w:t>
            </w:r>
          </w:p>
        </w:tc>
        <w:tc>
          <w:tcPr>
            <w:tcW w:w="0" w:type="auto"/>
            <w:hideMark/>
          </w:tcPr>
          <w:p w14:paraId="3A614B80"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100% resistance to ciprofloxacin</w:t>
            </w:r>
          </w:p>
        </w:tc>
      </w:tr>
      <w:tr w:rsidR="006A22AD" w:rsidRPr="00473AF0" w14:paraId="5FDE6880" w14:textId="77777777" w:rsidTr="00664340">
        <w:tc>
          <w:tcPr>
            <w:tcW w:w="0" w:type="auto"/>
            <w:hideMark/>
          </w:tcPr>
          <w:p w14:paraId="5736CDD6" w14:textId="77777777" w:rsidR="006A22AD" w:rsidRPr="00473AF0" w:rsidRDefault="006A22AD" w:rsidP="00473AF0">
            <w:pPr>
              <w:jc w:val="both"/>
              <w:rPr>
                <w:rFonts w:ascii="Times New Roman" w:hAnsi="Times New Roman" w:cs="Times New Roman"/>
                <w:sz w:val="22"/>
                <w:szCs w:val="22"/>
              </w:rPr>
            </w:pPr>
            <w:r w:rsidRPr="00473AF0">
              <w:rPr>
                <w:rFonts w:ascii="Times New Roman" w:hAnsi="Times New Roman" w:cs="Times New Roman"/>
                <w:sz w:val="22"/>
                <w:szCs w:val="22"/>
              </w:rPr>
              <w:t>Saleem &amp; Daniel (2011)</w:t>
            </w:r>
          </w:p>
        </w:tc>
        <w:tc>
          <w:tcPr>
            <w:tcW w:w="0" w:type="auto"/>
            <w:hideMark/>
          </w:tcPr>
          <w:p w14:paraId="6C836481" w14:textId="77777777" w:rsidR="006A22AD" w:rsidRPr="00473AF0" w:rsidRDefault="006A22AD" w:rsidP="00473AF0">
            <w:pPr>
              <w:jc w:val="both"/>
              <w:rPr>
                <w:rFonts w:ascii="Times New Roman" w:hAnsi="Times New Roman" w:cs="Times New Roman"/>
                <w:sz w:val="22"/>
                <w:szCs w:val="22"/>
              </w:rPr>
            </w:pPr>
            <w:r w:rsidRPr="00473AF0">
              <w:rPr>
                <w:rFonts w:ascii="Times New Roman" w:hAnsi="Times New Roman" w:cs="Times New Roman"/>
                <w:sz w:val="22"/>
                <w:szCs w:val="22"/>
              </w:rPr>
              <w:t>India</w:t>
            </w:r>
          </w:p>
        </w:tc>
        <w:tc>
          <w:tcPr>
            <w:tcW w:w="0" w:type="auto"/>
            <w:hideMark/>
          </w:tcPr>
          <w:p w14:paraId="07B399EF"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Observational, diabetic children</w:t>
            </w:r>
          </w:p>
        </w:tc>
        <w:tc>
          <w:tcPr>
            <w:tcW w:w="0" w:type="auto"/>
            <w:hideMark/>
          </w:tcPr>
          <w:p w14:paraId="10251D0D"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1000</w:t>
            </w:r>
          </w:p>
        </w:tc>
        <w:tc>
          <w:tcPr>
            <w:tcW w:w="0" w:type="auto"/>
            <w:hideMark/>
          </w:tcPr>
          <w:p w14:paraId="7AD82A2D"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Not directly given</w:t>
            </w:r>
          </w:p>
        </w:tc>
        <w:tc>
          <w:tcPr>
            <w:tcW w:w="0" w:type="auto"/>
            <w:hideMark/>
          </w:tcPr>
          <w:p w14:paraId="51D6F1DD"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Low SES, Type 1 DM</w:t>
            </w:r>
          </w:p>
        </w:tc>
        <w:tc>
          <w:tcPr>
            <w:tcW w:w="0" w:type="auto"/>
            <w:hideMark/>
          </w:tcPr>
          <w:p w14:paraId="3E098C51"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E. coli, Enterococcus</w:t>
            </w:r>
          </w:p>
        </w:tc>
        <w:tc>
          <w:tcPr>
            <w:tcW w:w="0" w:type="auto"/>
            <w:hideMark/>
          </w:tcPr>
          <w:p w14:paraId="0F58E1E3" w14:textId="77777777" w:rsidR="006A22AD" w:rsidRPr="00473AF0" w:rsidRDefault="006A22AD" w:rsidP="00473AF0">
            <w:pPr>
              <w:rPr>
                <w:rFonts w:ascii="Times New Roman" w:hAnsi="Times New Roman" w:cs="Times New Roman"/>
                <w:sz w:val="22"/>
                <w:szCs w:val="22"/>
              </w:rPr>
            </w:pPr>
            <w:r w:rsidRPr="00473AF0">
              <w:rPr>
                <w:rFonts w:ascii="Times New Roman" w:hAnsi="Times New Roman" w:cs="Times New Roman"/>
                <w:sz w:val="22"/>
                <w:szCs w:val="22"/>
              </w:rPr>
              <w:t>Higher risk in lower-income children</w:t>
            </w:r>
          </w:p>
        </w:tc>
      </w:tr>
    </w:tbl>
    <w:p w14:paraId="29B0CB87" w14:textId="77777777" w:rsidR="00653A99" w:rsidRPr="00473AF0" w:rsidRDefault="00653A99" w:rsidP="00473AF0">
      <w:pPr>
        <w:spacing w:after="0" w:line="240" w:lineRule="auto"/>
        <w:jc w:val="both"/>
        <w:rPr>
          <w:rFonts w:ascii="Times New Roman" w:hAnsi="Times New Roman" w:cs="Times New Roman"/>
          <w:b/>
          <w:bCs/>
          <w:sz w:val="22"/>
          <w:szCs w:val="22"/>
        </w:rPr>
      </w:pPr>
    </w:p>
    <w:p w14:paraId="7EF9C3CB" w14:textId="23B31EC9"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Discussion</w:t>
      </w:r>
    </w:p>
    <w:p w14:paraId="4ED951EF"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Urinary tract infections (UTIs) remain a significant clinical concern in individuals with diabetes, including pediatric populations, due to their increased susceptibility and complications arising from metabolic dysfunction. The systematic evidence consistently supports a higher UTI prevalence in diabetic patients across diverse geographic and clinical settings (Ahmed et al., 2023; Tegegne et al., 2023). A prominent contributing factor is impaired immune function in diabetes, which compromises both cellular immunity and the antimicrobial activity of the urinary tract (Holt et al., 2024). This vulnerability is not only observed in adults but is increasingly evident in pediatric cases, where the immune system is still developing (Daniel et al., 2023).</w:t>
      </w:r>
    </w:p>
    <w:p w14:paraId="02291C2A"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Gender differences further exacerbate UTI risk, particularly among females with diabetes. Both Alrasheedy et al. (2021) and Al-Rubeaan et al. (2013) demonstrated that female sex is a strong predictor of UTI in children and adults, likely due to anatomical and hormonal factors. The current dataset reflects a fourfold higher risk of UTI in diabetic females compared to males, in line with previous meta-analyses (Salari et al., 2022). Notably, children with type 1 diabetes are disproportionately affected during puberty, when hormonal shifts and poor glycemic control converge to increase infection risk (Kostopoulou et al., 2023).</w:t>
      </w:r>
    </w:p>
    <w:p w14:paraId="7E2A1EAB"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Glycemic dysregulation, reflected in persistently elevated HbA1c levels, has emerged as a robust risk factor across studies (Ahmed et al., 2023; Ramrakhia et al., 2020). Chronic hyperglycemia contributes to glycosuria, which in turn fosters microbial proliferation in the urinary tract. Aamir et al. (2021) highlighted that asymptomatic bacteriuria in diabetics is often linked to higher HbA1c levels, suggesting poor metabolic control as a gateway for infection. Similar conclusions were drawn by Saleem and Daniel (2011), who identified glycemic burden as a predictor of UTI in adult and adolescent cohorts.</w:t>
      </w:r>
    </w:p>
    <w:p w14:paraId="30E774CB"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Complicating this scenario is the growing prevalence of antibiotic-resistant pathogens. Pediatric data from Alsubaie et al. (2023) and Mekonnen et al. (2023) show rising resistance to commonly used antibiotics such as amoxicillin and trimethoprim-sulfamethoxazole. This poses a therapeutic dilemma, as resistance patterns vary significantly by region and age. Paudel et al. (2022) underscored the need for local antibiograms to guide empirical therapy, particularly in children with recurrent UTIs and diabetes. The microbial shift also includes non-bacterial agents like Candida tropicalis, which has been increasingly isolated in diabetic patients with recurrent infections (Carpenter, 2025).</w:t>
      </w:r>
    </w:p>
    <w:p w14:paraId="3A786517"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The role of comorbidities, such as chronic kidney disease and frailty, has also garnered attention. Chao et al. (2021) revealed that frailty increases UTI risk independent of age and glycemic control, especially in those with existing renal impairment. The intersection of frailty and diabetes presents a dual burden on host defenses, which is particularly pertinent in elderly diabetic patients but may have pediatric parallels in children with diabetic nephropathy (Wang et al., 2023). Likewise, Tegegne et al. (2023) emphasized that structural abnormalities and residual urine volume amplify UTI susceptibility.</w:t>
      </w:r>
    </w:p>
    <w:p w14:paraId="37CAF8ED"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Diabetic medications may further influence UTI risk profiles. Yang et al. (2022) reported a significant association between the use of sodium-glucose cotransporter-2 (SGLT2) inhibitors and an increased risk of UTIs due to enhanced glycosuria. While these agents are generally used in adults, their emerging use in adolescents with type 2 diabetes warrants cautious monitoring. Similarly, the study by Girma et al. (2023) highlighted that pharmacological interventions and insulin delivery methods can modify infection risk—patients using subcutaneous insulin had higher odds of UTI, possibly due to associated nephropathy.</w:t>
      </w:r>
    </w:p>
    <w:p w14:paraId="00BC6036"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Diagnostic and clinical vigilance are critical in pediatric populations, where UTIs may present atypically. Daniel et al. (2023) noted that pediatric UTIs often go undiagnosed until complications arise, particularly in diabetic children. Mattoo, Shaikh, and Nelson (2021) advocated for structured screening protocols and urinalysis in diabetic pediatric care, especially during episodes of poor glycemic control or unexplained fever. This is essential for early detection and prevention of long-term renal complications.</w:t>
      </w:r>
    </w:p>
    <w:p w14:paraId="55C3AF5D"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Sex-specific hormonal environments may further mediate UTI susceptibility, especially in post-pubertal females. According to Czajkowski et al. (2021), estrogen deficiency contributes to changes in vaginal flora and increased colonization with uropathogens in women, while similar mechanisms may emerge in diabetic adolescent girls. Though less studied, these dynamics suggest that sex hormones, alongside diabetes-induced immunosuppression, may jointly exacerbate risk.</w:t>
      </w:r>
    </w:p>
    <w:p w14:paraId="4F2B6205" w14:textId="77777777" w:rsidR="0066434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In summary, this discussion consolidates evidence from multiple epidemiological and clinical studies demonstrating that pediatric and adult diabetic populations are at significantly elevated risk for urinary tract infections. The convergence of immunosuppression, poor glycemic control, anatomical vulnerabilities, and antibiotic resistance patterns necessitates a multi-pronged preventive strategy. Surveillance, timely diagnosis, localized antibiotic protocols, and aggressive glycemic management are indispensable to mitigating the burden of UTIs in this high-risk group. Continued research—especially longitudinal studies in pediatric populations—is urgently needed to unravel pathophysiological mechanisms and optimize treatment protocols.</w:t>
      </w:r>
    </w:p>
    <w:p w14:paraId="4E6335D5" w14:textId="77777777" w:rsidR="00473AF0" w:rsidRPr="00473AF0" w:rsidRDefault="00473AF0" w:rsidP="00473AF0">
      <w:pPr>
        <w:spacing w:after="0" w:line="240" w:lineRule="auto"/>
        <w:jc w:val="both"/>
        <w:rPr>
          <w:rFonts w:ascii="Times New Roman" w:hAnsi="Times New Roman" w:cs="Times New Roman"/>
          <w:sz w:val="22"/>
          <w:szCs w:val="22"/>
        </w:rPr>
      </w:pPr>
    </w:p>
    <w:p w14:paraId="7CADA9CC"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Conclusion</w:t>
      </w:r>
    </w:p>
    <w:p w14:paraId="2D57E721"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This systematic review reinforces that urinary tract infections are a substantial and under-recognized burden among pediatric diabetic patients. Across diverse healthcare settings and population groups, common themes emerge: female sex, poor glycemic control, and renal complications significantly elevate UTI risk. The role of microbial resistance further complicates treatment protocols, especially as first-line antibiotics become less effective. Proactive screening, individualized therapy, and health education are crucial in managing this preventable yet serious complication.</w:t>
      </w:r>
    </w:p>
    <w:p w14:paraId="204AA5BF" w14:textId="77777777" w:rsidR="0066434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Moreover, the convergence of clinical, pharmacologic, and demographic risk factors calls for a multidisciplinary strategy in both primary care and pediatric endocrinology settings. Incorporating urine culture analysis during routine diabetes check-ups, improving glycemic monitoring, and regional surveillance of resistance trends may help reduce both incidence and recurrence. Evidence from this review sets a foundation for further clinical trials focused on pediatric populations to develop age-appropriate intervention strategies and guidelines.</w:t>
      </w:r>
    </w:p>
    <w:p w14:paraId="7573FA50" w14:textId="77777777" w:rsidR="00473AF0" w:rsidRPr="00473AF0" w:rsidRDefault="00473AF0" w:rsidP="00473AF0">
      <w:pPr>
        <w:spacing w:after="0" w:line="240" w:lineRule="auto"/>
        <w:jc w:val="both"/>
        <w:rPr>
          <w:rFonts w:ascii="Times New Roman" w:hAnsi="Times New Roman" w:cs="Times New Roman"/>
          <w:sz w:val="22"/>
          <w:szCs w:val="22"/>
        </w:rPr>
      </w:pPr>
    </w:p>
    <w:p w14:paraId="2EEE4E42" w14:textId="77777777" w:rsidR="00664340" w:rsidRPr="00473AF0" w:rsidRDefault="00664340"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Limitations</w:t>
      </w:r>
    </w:p>
    <w:p w14:paraId="073CFF97" w14:textId="77777777" w:rsidR="00664340" w:rsidRPr="00473AF0" w:rsidRDefault="00664340" w:rsidP="00473AF0">
      <w:pP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Despite the comprehensive nature of this review, several limitations must be acknowledged. First, the heterogeneity among included studies—particularly in terms of diagnostic criteria for UTIs, age grouping, and UTI classification (symptomatic vs. asymptomatic)—limited direct comparison and meta-analysis. Second, most of the studies were cross-sectional, preventing causal inferences between risk factors and UTI incidence.</w:t>
      </w:r>
    </w:p>
    <w:p w14:paraId="4A25ED84" w14:textId="77777777" w:rsidR="00664340" w:rsidRDefault="00664340" w:rsidP="00473AF0">
      <w:pPr>
        <w:pBdr>
          <w:bottom w:val="single" w:sz="4" w:space="1" w:color="auto"/>
        </w:pBdr>
        <w:spacing w:after="0" w:line="240" w:lineRule="auto"/>
        <w:jc w:val="both"/>
        <w:rPr>
          <w:rFonts w:ascii="Times New Roman" w:hAnsi="Times New Roman" w:cs="Times New Roman"/>
          <w:sz w:val="22"/>
          <w:szCs w:val="22"/>
        </w:rPr>
      </w:pPr>
      <w:r w:rsidRPr="00473AF0">
        <w:rPr>
          <w:rFonts w:ascii="Times New Roman" w:hAnsi="Times New Roman" w:cs="Times New Roman"/>
          <w:sz w:val="22"/>
          <w:szCs w:val="22"/>
        </w:rPr>
        <w:t>Furthermore, while regional representation was broad, there remained a lack of longitudinal studies focused solely on pediatric populations, especially in lower- and middle-income countries. Finally, publication bias may have affected the results, as only English-language and peer-reviewed studies were included. These gaps highlight the urgent need for more robust, pediatric-specific longitudinal and interventional research.</w:t>
      </w:r>
    </w:p>
    <w:p w14:paraId="05F599E8" w14:textId="77777777" w:rsidR="00473AF0" w:rsidRPr="00473AF0" w:rsidRDefault="00473AF0" w:rsidP="00473AF0">
      <w:pPr>
        <w:spacing w:after="0" w:line="240" w:lineRule="auto"/>
        <w:jc w:val="both"/>
        <w:rPr>
          <w:rFonts w:ascii="Times New Roman" w:hAnsi="Times New Roman" w:cs="Times New Roman"/>
          <w:sz w:val="22"/>
          <w:szCs w:val="22"/>
        </w:rPr>
      </w:pPr>
    </w:p>
    <w:p w14:paraId="4AFAA13F" w14:textId="09969B3B" w:rsidR="006A22AD" w:rsidRPr="00473AF0" w:rsidRDefault="006A22AD" w:rsidP="00473AF0">
      <w:pPr>
        <w:spacing w:after="0" w:line="240" w:lineRule="auto"/>
        <w:jc w:val="both"/>
        <w:rPr>
          <w:rFonts w:ascii="Times New Roman" w:hAnsi="Times New Roman" w:cs="Times New Roman"/>
          <w:b/>
          <w:bCs/>
          <w:sz w:val="22"/>
          <w:szCs w:val="22"/>
        </w:rPr>
      </w:pPr>
      <w:r w:rsidRPr="00473AF0">
        <w:rPr>
          <w:rFonts w:ascii="Times New Roman" w:hAnsi="Times New Roman" w:cs="Times New Roman"/>
          <w:b/>
          <w:bCs/>
          <w:sz w:val="22"/>
          <w:szCs w:val="22"/>
        </w:rPr>
        <w:t>References</w:t>
      </w:r>
    </w:p>
    <w:p w14:paraId="6C07AE7A" w14:textId="4B65A2AA"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Aamir, A. H., et al. (2021). Asymptomatic urinary tract infections and associated risk factors in Pakistani Muslim type 2 diabetic patients. BMC Infectious Diseases, 21(1), 388.</w:t>
      </w:r>
    </w:p>
    <w:p w14:paraId="7DBD6C80" w14:textId="678828A9"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Ahmed, A. E., et al. (2023). Prevalence and associated risk factors of urinary tract infection among diabetic patients: a cross-sectional study. Healthcare, 11(9), 1314.</w:t>
      </w:r>
    </w:p>
    <w:p w14:paraId="66F85B91" w14:textId="3E6FFDF6"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Alrasheedy, M., et al. (2021). Prevalence of urinary tract infection in children in the Kingdom of Saudi Arabia. Archivio Italiano di Urologia e Andrologia, 93(2), 206–210.</w:t>
      </w:r>
    </w:p>
    <w:p w14:paraId="60DDA742" w14:textId="72DA5BC1"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Al-Rubeaan, K. A., et al. (2013). Prevalence of urinary tract infection and risk factors among Saudi patients with diabetes. World Journal of Urology, 31(3), 573–578.</w:t>
      </w:r>
    </w:p>
    <w:p w14:paraId="32668A29" w14:textId="64CCFC4F"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Alsubaie, M. A., et al. (2023). Antibiotic resistance patterns of pediatric community-acquired urinary tract infections in Jeddah, Saudi Arabia. Journal of Infection in Developing Countries, 17(10), 1430–1435.</w:t>
      </w:r>
    </w:p>
    <w:p w14:paraId="22CF120D" w14:textId="51D10E39"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Carpenter, R. E. (2025). Candida tropicalis in the diabetic urinary tract: Biofilm resistance, genomic plasticity, and public health implications. Diagnostic Microbiology and Infectious Disease.</w:t>
      </w:r>
    </w:p>
    <w:p w14:paraId="7CF43750" w14:textId="43BDD826"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Chao, C. T., Lee, S. Y., Wang, J., Chien, K. L., &amp; Huang, J. W. (2021). Frailty increases the risk for developing urinary tract infection among 79,887 patients with diabetes mellitus and chronic kidney disease. BMC Geriatrics, 21(1), 466.</w:t>
      </w:r>
    </w:p>
    <w:p w14:paraId="3FFAF9EA" w14:textId="2F67E7FC"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Czajkowski, K., Broś-Konopielko, M., et al. (2021). Urinary tract infection in women. Menopause Review/Przegląd Menopauzalny, 20(4), 208–213.</w:t>
      </w:r>
    </w:p>
    <w:p w14:paraId="1A52579B" w14:textId="072A72E3"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Daniel, M., et al. (2023). Epidemiology and risk factors of UTIs in children—A single-center observation. Journal of Personalized Medicine, 13(5), 739.</w:t>
      </w:r>
    </w:p>
    <w:p w14:paraId="63F7A7BA" w14:textId="1B145944"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Girma, A., et al. (2023). Magnitude, associated risk factors, and trend comparisons of urinary tract infection among pregnant women and diabetic patients: a systematic review and meta-analysis. Journal of Pregnancy, 2023, 8365867.</w:t>
      </w:r>
    </w:p>
    <w:p w14:paraId="2EEA8348" w14:textId="1EBCD125"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Holt, R. I. G., Cockram, C. S., Ma, R. C. W., &amp; Luk, A. O. Y. (2024). Diabetes and infection: Review of the epidemiology, mechanisms and principles of treatment. Diabetologia, 67(2), 123–138.</w:t>
      </w:r>
    </w:p>
    <w:p w14:paraId="75BB2C88" w14:textId="15442D1A"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Kostopoulou, E., Sinopidis, X., Fouzas, S., Gkentzi, D., et al. (2023). Diabetic ketoacidosis in children and adolescents: Diagnostic and therapeutic pitfalls. Diagnostics, 13(1), 44.</w:t>
      </w:r>
    </w:p>
    <w:p w14:paraId="28A85345" w14:textId="44BFB02E"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Mattoo, T. K., Shaikh, N., &amp; Nelson, C. P. (2021). Contemporary management of urinary tract infection in children. Pediatrics, 147(2), e2020012133.</w:t>
      </w:r>
    </w:p>
    <w:p w14:paraId="5C8F4D44" w14:textId="6997CDD1"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Mekonnen, S., Tesfa, T., Shume, T., Tebeje, F., Urgesa, K., et al. (2023). Bacterial profile, their antibiotic susceptibility pattern, and associated factors of urinary tract infections in children at Hiwot Fana Specialized University Hospital, Eastern Ethiopia. PLOS ONE, 18(2), e0281381.</w:t>
      </w:r>
    </w:p>
    <w:p w14:paraId="00940352" w14:textId="428AFB57"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Paudel, S., John, P. P., Poorbaghi, S. L., et al. (2022). Systematic review of literature examining bacterial urinary tract infections in diabetes. Journal of Diabetes, 14(11), 662–673.</w:t>
      </w:r>
    </w:p>
    <w:p w14:paraId="49501D8E" w14:textId="3E9F9DFF"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Ramrakhia, S., et al. (2020). Comparison of incidence of urinary tract infection in diabetic vs non-diabetic and associated pathogens. Cureus, 12(9), e10533.</w:t>
      </w:r>
    </w:p>
    <w:p w14:paraId="218AB658" w14:textId="2C98CC3E"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Saleem, M., &amp; Daniel, B. (2011). Prevalence of urinary tract infection among patients with diabetes in Bangalore City. International Journal of Emerging Sciences, 1(2), 133.</w:t>
      </w:r>
    </w:p>
    <w:p w14:paraId="6182002B" w14:textId="037F273A"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Salari, N., et al. (2022). The prevalence of urinary tract infections in type 2 diabetic patients: a systematic review and meta-analysis. European Journal of Medical Research, 27(1), 20.</w:t>
      </w:r>
    </w:p>
    <w:p w14:paraId="534D6649" w14:textId="5F9F7ECD"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Tegegne, K. D., Wagaw, G. B., Gebeyehu, N. A., Yirdaw, L. T., et al. (2023). Prevalence of urinary tract infections and risk factors among diabetic patients in Ethiopia: A systematic review and meta-analysis. PLOS ONE, 18(1), e0280587.</w:t>
      </w:r>
    </w:p>
    <w:p w14:paraId="5B59D13D" w14:textId="1A1B4425"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Wang, X., Wang, Y., Luo, L., Tan, L., Cai, W., Chen, L., &amp; Ren, W. (2023). Prevalence and associated factors of urinary tract infection in patients with diabetic neuropathy: a Hospital-Based Cross-Sectional Study. Diabetes, Metabolic Syndrome and Obesity, 1261–1270.</w:t>
      </w:r>
    </w:p>
    <w:p w14:paraId="1FBCFF62" w14:textId="4BFCFD47"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Worku, G. Y., Alamneh, Y. B., et al. (2021). Prevalence of bacterial urinary tract infection and antimicrobial susceptibility patterns among diabetes mellitus patients attending Zewditu Memorial Hospital, Addis Ababa, Ethiopia. Infection and Drug Resistance, 14, 2691–2701.</w:t>
      </w:r>
    </w:p>
    <w:p w14:paraId="309E0D7F" w14:textId="68EAD472" w:rsidR="00664340" w:rsidRPr="00473AF0" w:rsidRDefault="00664340" w:rsidP="00473AF0">
      <w:pPr>
        <w:pStyle w:val="ListParagraph"/>
        <w:numPr>
          <w:ilvl w:val="0"/>
          <w:numId w:val="9"/>
        </w:numPr>
        <w:spacing w:after="0" w:line="240" w:lineRule="auto"/>
        <w:ind w:left="360"/>
        <w:jc w:val="both"/>
        <w:rPr>
          <w:rFonts w:ascii="Times New Roman" w:hAnsi="Times New Roman" w:cs="Times New Roman"/>
          <w:sz w:val="22"/>
          <w:szCs w:val="22"/>
        </w:rPr>
      </w:pPr>
      <w:r w:rsidRPr="00473AF0">
        <w:rPr>
          <w:rFonts w:ascii="Times New Roman" w:hAnsi="Times New Roman" w:cs="Times New Roman"/>
          <w:sz w:val="22"/>
          <w:szCs w:val="22"/>
        </w:rPr>
        <w:t>Yang, H., Choi, E., Park, E., Na, E., Chung, S. Y., et al. (2022). Urinary tract infections associated with SGLT‐2 inhibitors as an add‐on therapy to metformin in patients with type 2 diabetes mellitus: A retrospective cohort study. Pharmacology Research &amp; Perspectives, 10(5), e00985.</w:t>
      </w:r>
    </w:p>
    <w:p w14:paraId="23AAA632" w14:textId="77777777" w:rsidR="008E77EC" w:rsidRPr="00473AF0" w:rsidRDefault="008E77EC" w:rsidP="00473AF0">
      <w:pPr>
        <w:spacing w:after="0" w:line="240" w:lineRule="auto"/>
        <w:jc w:val="both"/>
        <w:rPr>
          <w:rFonts w:ascii="Times New Roman" w:hAnsi="Times New Roman" w:cs="Times New Roman"/>
          <w:sz w:val="22"/>
          <w:szCs w:val="22"/>
        </w:rPr>
      </w:pPr>
    </w:p>
    <w:sectPr w:rsidR="008E77EC" w:rsidRPr="00473AF0" w:rsidSect="00561E95">
      <w:headerReference w:type="default" r:id="rId10"/>
      <w:footerReference w:type="default" r:id="rId11"/>
      <w:headerReference w:type="first" r:id="rId12"/>
      <w:footerReference w:type="first" r:id="rId13"/>
      <w:pgSz w:w="11907" w:h="16840" w:code="9"/>
      <w:pgMar w:top="1440" w:right="1440" w:bottom="1440" w:left="1440" w:header="720" w:footer="720" w:gutter="0"/>
      <w:pgNumType w:start="10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ED76D" w14:textId="77777777" w:rsidR="00B646D4" w:rsidRDefault="00B646D4" w:rsidP="00473AF0">
      <w:pPr>
        <w:spacing w:after="0" w:line="240" w:lineRule="auto"/>
      </w:pPr>
      <w:r>
        <w:separator/>
      </w:r>
    </w:p>
  </w:endnote>
  <w:endnote w:type="continuationSeparator" w:id="0">
    <w:p w14:paraId="0A45129B" w14:textId="77777777" w:rsidR="00B646D4" w:rsidRDefault="00B646D4" w:rsidP="00473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rPr>
      <w:id w:val="-1589615272"/>
      <w:docPartObj>
        <w:docPartGallery w:val="Page Numbers (Bottom of Page)"/>
        <w:docPartUnique/>
      </w:docPartObj>
    </w:sdtPr>
    <w:sdtEndPr>
      <w:rPr>
        <w:noProof/>
      </w:rPr>
    </w:sdtEndPr>
    <w:sdtContent>
      <w:p w14:paraId="0E0A1D25" w14:textId="45E28FF1" w:rsidR="00473AF0" w:rsidRPr="00473AF0" w:rsidRDefault="00473AF0" w:rsidP="00473AF0">
        <w:pPr>
          <w:spacing w:before="14" w:after="0"/>
          <w:ind w:left="20"/>
          <w:jc w:val="both"/>
          <w:rPr>
            <w:rFonts w:ascii="Times New Roman" w:eastAsia="Times New Roman" w:hAnsi="Times New Roman" w:cs="Times New Roman"/>
            <w:sz w:val="14"/>
          </w:rPr>
        </w:pPr>
        <w:hyperlink r:id="rId1">
          <w:r w:rsidRPr="00B13AAB">
            <w:rPr>
              <w:rFonts w:ascii="Times New Roman" w:eastAsia="Times New Roman" w:hAnsi="Times New Roman" w:cs="Times New Roman"/>
              <w:spacing w:val="-2"/>
              <w:sz w:val="14"/>
            </w:rPr>
            <w:t>WWW.DIABETICSTUDIES.ORG</w:t>
          </w:r>
        </w:hyperlink>
        <w:r w:rsidRPr="00B13AA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B13AA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B13AAB">
          <w:rPr>
            <w:rFonts w:ascii="Times New Roman" w:eastAsia="Times New Roman" w:hAnsi="Times New Roman" w:cs="Times New Roman"/>
          </w:rPr>
          <w:t xml:space="preserve">                                                                 </w:t>
        </w:r>
        <w:r w:rsidRPr="00B13AAB">
          <w:rPr>
            <w:rFonts w:ascii="Times New Roman" w:eastAsia="Times New Roman" w:hAnsi="Times New Roman" w:cs="Times New Roman"/>
            <w:szCs w:val="18"/>
          </w:rPr>
          <w:t xml:space="preserve"> </w:t>
        </w:r>
        <w:r w:rsidRPr="00B13AAB">
          <w:rPr>
            <w:rFonts w:ascii="Times New Roman" w:eastAsia="Times New Roman" w:hAnsi="Times New Roman" w:cs="Times New Roman"/>
            <w:szCs w:val="18"/>
          </w:rPr>
          <w:fldChar w:fldCharType="begin"/>
        </w:r>
        <w:r w:rsidRPr="00B13AAB">
          <w:rPr>
            <w:rFonts w:ascii="Times New Roman" w:eastAsia="Times New Roman" w:hAnsi="Times New Roman" w:cs="Times New Roman"/>
            <w:szCs w:val="18"/>
          </w:rPr>
          <w:instrText xml:space="preserve"> PAGE   \* MERGEFORMAT </w:instrText>
        </w:r>
        <w:r w:rsidRPr="00B13AAB">
          <w:rPr>
            <w:rFonts w:ascii="Times New Roman" w:eastAsia="Times New Roman" w:hAnsi="Times New Roman" w:cs="Times New Roman"/>
            <w:szCs w:val="18"/>
          </w:rPr>
          <w:fldChar w:fldCharType="separate"/>
        </w:r>
        <w:r>
          <w:rPr>
            <w:rFonts w:ascii="Times New Roman" w:eastAsia="Times New Roman" w:hAnsi="Times New Roman" w:cs="Times New Roman"/>
            <w:szCs w:val="18"/>
          </w:rPr>
          <w:t>1</w:t>
        </w:r>
        <w:r w:rsidRPr="00B13AAB">
          <w:rPr>
            <w:rFonts w:ascii="Times New Roman" w:eastAsia="Times New Roman" w:hAnsi="Times New Roman" w:cs="Times New Roman"/>
            <w:noProof/>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1" w:name="_Hlk211633665" w:displacedByCustomXml="next"/>
  <w:bookmarkStart w:id="12" w:name="_Hlk211633664" w:displacedByCustomXml="next"/>
  <w:bookmarkStart w:id="13" w:name="_Hlk211632511" w:displacedByCustomXml="next"/>
  <w:bookmarkStart w:id="14" w:name="_Hlk211632510" w:displacedByCustomXml="next"/>
  <w:bookmarkStart w:id="15" w:name="_Hlk210826107" w:displacedByCustomXml="next"/>
  <w:bookmarkStart w:id="16" w:name="_Hlk210826106" w:displacedByCustomXml="next"/>
  <w:bookmarkStart w:id="17" w:name="_Hlk210825813" w:displacedByCustomXml="next"/>
  <w:bookmarkStart w:id="18" w:name="_Hlk210825812" w:displacedByCustomXml="next"/>
  <w:bookmarkStart w:id="19" w:name="_Hlk210825416" w:displacedByCustomXml="next"/>
  <w:bookmarkStart w:id="20" w:name="_Hlk210825415" w:displacedByCustomXml="next"/>
  <w:bookmarkStart w:id="21" w:name="_Hlk210825128" w:displacedByCustomXml="next"/>
  <w:bookmarkStart w:id="22" w:name="_Hlk210825127" w:displacedByCustomXml="next"/>
  <w:bookmarkStart w:id="23" w:name="_Hlk210824835" w:displacedByCustomXml="next"/>
  <w:bookmarkStart w:id="24" w:name="_Hlk210824834" w:displacedByCustomXml="next"/>
  <w:bookmarkStart w:id="25" w:name="_Hlk210824214" w:displacedByCustomXml="next"/>
  <w:bookmarkStart w:id="26" w:name="_Hlk210824213" w:displacedByCustomXml="next"/>
  <w:bookmarkStart w:id="27" w:name="_Hlk210823755" w:displacedByCustomXml="next"/>
  <w:bookmarkStart w:id="28" w:name="_Hlk210823754" w:displacedByCustomXml="next"/>
  <w:bookmarkStart w:id="29" w:name="_Hlk210823487" w:displacedByCustomXml="next"/>
  <w:bookmarkStart w:id="30" w:name="_Hlk210823486" w:displacedByCustomXml="next"/>
  <w:bookmarkStart w:id="31" w:name="_Hlk210823188" w:displacedByCustomXml="next"/>
  <w:bookmarkStart w:id="32" w:name="_Hlk210823187" w:displacedByCustomXml="next"/>
  <w:bookmarkStart w:id="33" w:name="_Hlk210822787" w:displacedByCustomXml="next"/>
  <w:bookmarkStart w:id="34" w:name="_Hlk210822786" w:displacedByCustomXml="next"/>
  <w:bookmarkStart w:id="35" w:name="_Hlk210822435" w:displacedByCustomXml="next"/>
  <w:bookmarkStart w:id="36" w:name="_Hlk210822434" w:displacedByCustomXml="next"/>
  <w:bookmarkStart w:id="37" w:name="_Hlk210821734" w:displacedByCustomXml="next"/>
  <w:bookmarkStart w:id="38" w:name="_Hlk210821733" w:displacedByCustomXml="next"/>
  <w:bookmarkStart w:id="39" w:name="_Hlk210821350" w:displacedByCustomXml="next"/>
  <w:bookmarkStart w:id="40" w:name="_Hlk210821349" w:displacedByCustomXml="next"/>
  <w:bookmarkStart w:id="41" w:name="_Hlk210821066" w:displacedByCustomXml="next"/>
  <w:bookmarkStart w:id="42" w:name="_Hlk210821065" w:displacedByCustomXml="next"/>
  <w:bookmarkStart w:id="43" w:name="_Hlk210820759" w:displacedByCustomXml="next"/>
  <w:bookmarkStart w:id="44" w:name="_Hlk210820758" w:displacedByCustomXml="next"/>
  <w:bookmarkStart w:id="45" w:name="_Hlk210820446" w:displacedByCustomXml="next"/>
  <w:bookmarkStart w:id="46" w:name="_Hlk210820445" w:displacedByCustomXml="next"/>
  <w:bookmarkStart w:id="47" w:name="_Hlk210819983" w:displacedByCustomXml="next"/>
  <w:bookmarkStart w:id="48" w:name="_Hlk210819982" w:displacedByCustomXml="next"/>
  <w:bookmarkStart w:id="49" w:name="_Hlk210819688" w:displacedByCustomXml="next"/>
  <w:bookmarkStart w:id="50" w:name="_Hlk210819687" w:displacedByCustomXml="next"/>
  <w:bookmarkStart w:id="51" w:name="_Hlk210302131" w:displacedByCustomXml="next"/>
  <w:bookmarkStart w:id="52" w:name="_Hlk210302130" w:displacedByCustomXml="next"/>
  <w:bookmarkStart w:id="53" w:name="_Hlk210301283" w:displacedByCustomXml="next"/>
  <w:bookmarkStart w:id="54" w:name="_Hlk210301282" w:displacedByCustomXml="next"/>
  <w:bookmarkStart w:id="55" w:name="_Hlk210300727" w:displacedByCustomXml="next"/>
  <w:bookmarkStart w:id="56" w:name="_Hlk210300726" w:displacedByCustomXml="next"/>
  <w:bookmarkStart w:id="57" w:name="_Hlk209945455" w:displacedByCustomXml="next"/>
  <w:bookmarkStart w:id="58" w:name="_Hlk209945454" w:displacedByCustomXml="next"/>
  <w:bookmarkStart w:id="59" w:name="_Hlk209945129" w:displacedByCustomXml="next"/>
  <w:bookmarkStart w:id="60" w:name="_Hlk209945128" w:displacedByCustomXml="next"/>
  <w:bookmarkStart w:id="61" w:name="_Hlk209945001" w:displacedByCustomXml="next"/>
  <w:bookmarkStart w:id="62" w:name="_Hlk209945000" w:displacedByCustomXml="next"/>
  <w:bookmarkStart w:id="63" w:name="_Hlk209944417" w:displacedByCustomXml="next"/>
  <w:bookmarkStart w:id="64" w:name="_Hlk209944416" w:displacedByCustomXml="next"/>
  <w:bookmarkStart w:id="65" w:name="_Hlk209944133" w:displacedByCustomXml="next"/>
  <w:bookmarkStart w:id="66" w:name="_Hlk209944132" w:displacedByCustomXml="next"/>
  <w:sdt>
    <w:sdtPr>
      <w:rPr>
        <w:rFonts w:ascii="Times New Roman" w:eastAsia="Times New Roman" w:hAnsi="Times New Roman" w:cs="Times New Roman"/>
      </w:rPr>
      <w:id w:val="861322842"/>
      <w:docPartObj>
        <w:docPartGallery w:val="Page Numbers (Bottom of Page)"/>
        <w:docPartUnique/>
      </w:docPartObj>
    </w:sdtPr>
    <w:sdtEndPr>
      <w:rPr>
        <w:noProof/>
      </w:rPr>
    </w:sdtEndPr>
    <w:sdtContent>
      <w:p w14:paraId="34EAA47B" w14:textId="347DE506" w:rsidR="00473AF0" w:rsidRPr="00473AF0" w:rsidRDefault="00473AF0" w:rsidP="00473AF0">
        <w:pPr>
          <w:spacing w:before="14" w:after="0"/>
          <w:ind w:left="20"/>
          <w:jc w:val="both"/>
          <w:rPr>
            <w:rFonts w:ascii="Times New Roman" w:eastAsia="Times New Roman" w:hAnsi="Times New Roman" w:cs="Times New Roman"/>
            <w:sz w:val="14"/>
          </w:rPr>
        </w:pPr>
        <w:hyperlink r:id="rId1">
          <w:r w:rsidRPr="00B13AAB">
            <w:rPr>
              <w:rFonts w:ascii="Times New Roman" w:eastAsia="Times New Roman" w:hAnsi="Times New Roman" w:cs="Times New Roman"/>
              <w:spacing w:val="-2"/>
              <w:sz w:val="14"/>
            </w:rPr>
            <w:t>WWW.DIABETICSTUDIES.ORG</w:t>
          </w:r>
        </w:hyperlink>
        <w:r w:rsidRPr="00B13AA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B13AA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B13AAB">
          <w:rPr>
            <w:rFonts w:ascii="Times New Roman" w:eastAsia="Times New Roman" w:hAnsi="Times New Roman" w:cs="Times New Roman"/>
          </w:rPr>
          <w:t xml:space="preserve">                                                                 </w:t>
        </w:r>
        <w:r w:rsidRPr="00B13AAB">
          <w:rPr>
            <w:rFonts w:ascii="Times New Roman" w:eastAsia="Times New Roman" w:hAnsi="Times New Roman" w:cs="Times New Roman"/>
            <w:szCs w:val="18"/>
          </w:rPr>
          <w:t xml:space="preserve"> </w:t>
        </w:r>
        <w:r w:rsidRPr="00B13AAB">
          <w:rPr>
            <w:rFonts w:ascii="Times New Roman" w:eastAsia="Times New Roman" w:hAnsi="Times New Roman" w:cs="Times New Roman"/>
            <w:szCs w:val="18"/>
          </w:rPr>
          <w:fldChar w:fldCharType="begin"/>
        </w:r>
        <w:r w:rsidRPr="00B13AAB">
          <w:rPr>
            <w:rFonts w:ascii="Times New Roman" w:eastAsia="Times New Roman" w:hAnsi="Times New Roman" w:cs="Times New Roman"/>
            <w:szCs w:val="18"/>
          </w:rPr>
          <w:instrText xml:space="preserve"> PAGE   \* MERGEFORMAT </w:instrText>
        </w:r>
        <w:r w:rsidRPr="00B13AAB">
          <w:rPr>
            <w:rFonts w:ascii="Times New Roman" w:eastAsia="Times New Roman" w:hAnsi="Times New Roman" w:cs="Times New Roman"/>
            <w:szCs w:val="18"/>
          </w:rPr>
          <w:fldChar w:fldCharType="separate"/>
        </w:r>
        <w:r>
          <w:rPr>
            <w:rFonts w:ascii="Times New Roman" w:eastAsia="Times New Roman" w:hAnsi="Times New Roman" w:cs="Times New Roman"/>
            <w:szCs w:val="18"/>
          </w:rPr>
          <w:t>154</w:t>
        </w:r>
        <w:r w:rsidRPr="00B13AAB">
          <w:rPr>
            <w:rFonts w:ascii="Times New Roman" w:eastAsia="Times New Roman" w:hAnsi="Times New Roman" w:cs="Times New Roman"/>
            <w:noProof/>
            <w:szCs w:val="18"/>
          </w:rPr>
          <w:fldChar w:fldCharType="end"/>
        </w:r>
      </w:p>
    </w:sdtContent>
  </w:sdt>
  <w:bookmarkEnd w:id="11" w:displacedByCustomXml="prev"/>
  <w:bookmarkEnd w:id="12" w:displacedByCustomXml="prev"/>
  <w:bookmarkEnd w:id="13" w:displacedByCustomXml="prev"/>
  <w:bookmarkEnd w:id="14" w:displacedByCustomXml="prev"/>
  <w:bookmarkEnd w:id="15" w:displacedByCustomXml="prev"/>
  <w:bookmarkEnd w:id="16" w:displacedByCustomXml="prev"/>
  <w:bookmarkEnd w:id="17" w:displacedByCustomXml="prev"/>
  <w:bookmarkEnd w:id="18" w:displacedByCustomXml="prev"/>
  <w:bookmarkEnd w:id="19" w:displacedByCustomXml="prev"/>
  <w:bookmarkEnd w:id="20" w:displacedByCustomXml="prev"/>
  <w:bookmarkEnd w:id="21" w:displacedByCustomXml="prev"/>
  <w:bookmarkEnd w:id="22" w:displacedByCustomXml="prev"/>
  <w:bookmarkEnd w:id="23" w:displacedByCustomXml="prev"/>
  <w:bookmarkEnd w:id="24" w:displacedByCustomXml="prev"/>
  <w:bookmarkEnd w:id="25" w:displacedByCustomXml="prev"/>
  <w:bookmarkEnd w:id="26" w:displacedByCustomXml="prev"/>
  <w:bookmarkEnd w:id="27" w:displacedByCustomXml="prev"/>
  <w:bookmarkEnd w:id="28" w:displacedByCustomXml="prev"/>
  <w:bookmarkEnd w:id="29" w:displacedByCustomXml="prev"/>
  <w:bookmarkEnd w:id="30" w:displacedByCustomXml="prev"/>
  <w:bookmarkEnd w:id="31" w:displacedByCustomXml="prev"/>
  <w:bookmarkEnd w:id="32" w:displacedByCustomXml="prev"/>
  <w:bookmarkEnd w:id="33" w:displacedByCustomXml="prev"/>
  <w:bookmarkEnd w:id="34" w:displacedByCustomXml="prev"/>
  <w:bookmarkEnd w:id="35" w:displacedByCustomXml="prev"/>
  <w:bookmarkEnd w:id="36" w:displacedByCustomXml="prev"/>
  <w:bookmarkEnd w:id="37" w:displacedByCustomXml="prev"/>
  <w:bookmarkEnd w:id="38" w:displacedByCustomXml="prev"/>
  <w:bookmarkEnd w:id="39" w:displacedByCustomXml="prev"/>
  <w:bookmarkEnd w:id="40" w:displacedByCustomXml="prev"/>
  <w:bookmarkEnd w:id="41" w:displacedByCustomXml="prev"/>
  <w:bookmarkEnd w:id="42" w:displacedByCustomXml="prev"/>
  <w:bookmarkEnd w:id="43" w:displacedByCustomXml="prev"/>
  <w:bookmarkEnd w:id="44" w:displacedByCustomXml="prev"/>
  <w:bookmarkEnd w:id="45" w:displacedByCustomXml="prev"/>
  <w:bookmarkEnd w:id="46" w:displacedByCustomXml="prev"/>
  <w:bookmarkEnd w:id="47" w:displacedByCustomXml="prev"/>
  <w:bookmarkEnd w:id="48" w:displacedByCustomXml="prev"/>
  <w:bookmarkEnd w:id="49" w:displacedByCustomXml="prev"/>
  <w:bookmarkEnd w:id="50" w:displacedByCustomXml="prev"/>
  <w:bookmarkEnd w:id="51" w:displacedByCustomXml="prev"/>
  <w:bookmarkEnd w:id="52" w:displacedByCustomXml="prev"/>
  <w:bookmarkEnd w:id="53" w:displacedByCustomXml="prev"/>
  <w:bookmarkEnd w:id="54" w:displacedByCustomXml="prev"/>
  <w:bookmarkEnd w:id="55" w:displacedByCustomXml="prev"/>
  <w:bookmarkEnd w:id="56" w:displacedByCustomXml="prev"/>
  <w:bookmarkEnd w:id="57" w:displacedByCustomXml="prev"/>
  <w:bookmarkEnd w:id="58" w:displacedByCustomXml="prev"/>
  <w:bookmarkEnd w:id="59" w:displacedByCustomXml="prev"/>
  <w:bookmarkEnd w:id="60" w:displacedByCustomXml="prev"/>
  <w:bookmarkEnd w:id="61" w:displacedByCustomXml="prev"/>
  <w:bookmarkEnd w:id="62" w:displacedByCustomXml="prev"/>
  <w:bookmarkEnd w:id="63" w:displacedByCustomXml="prev"/>
  <w:bookmarkEnd w:id="64" w:displacedByCustomXml="prev"/>
  <w:bookmarkEnd w:id="65" w:displacedByCustomXml="prev"/>
  <w:bookmarkEnd w:id="66"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A2BA8" w14:textId="77777777" w:rsidR="00B646D4" w:rsidRDefault="00B646D4" w:rsidP="00473AF0">
      <w:pPr>
        <w:spacing w:after="0" w:line="240" w:lineRule="auto"/>
      </w:pPr>
      <w:r>
        <w:separator/>
      </w:r>
    </w:p>
  </w:footnote>
  <w:footnote w:type="continuationSeparator" w:id="0">
    <w:p w14:paraId="44D0E534" w14:textId="77777777" w:rsidR="00B646D4" w:rsidRDefault="00B646D4" w:rsidP="00473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A34C" w14:textId="77777777" w:rsidR="00473AF0" w:rsidRPr="00B50FD0" w:rsidRDefault="00473AF0" w:rsidP="00473AF0">
    <w:pPr>
      <w:tabs>
        <w:tab w:val="center" w:pos="4680"/>
        <w:tab w:val="right" w:pos="9360"/>
      </w:tabs>
      <w:spacing w:after="0"/>
      <w:jc w:val="center"/>
      <w:rPr>
        <w:rFonts w:ascii="Times New Roman" w:eastAsia="Times New Roman" w:hAnsi="Times New Roman" w:cs="Times New Roman"/>
        <w:sz w:val="16"/>
        <w:szCs w:val="16"/>
      </w:rPr>
    </w:pPr>
    <w:bookmarkStart w:id="0" w:name="_Hlk209945169"/>
    <w:bookmarkStart w:id="1" w:name="_Hlk209131509"/>
    <w:bookmarkStart w:id="2" w:name="_Hlk209944187"/>
    <w:bookmarkStart w:id="3" w:name="_Hlk209944866"/>
    <w:bookmarkStart w:id="4" w:name="_Hlk209944867"/>
    <w:bookmarkStart w:id="5" w:name="_Hlk210822442"/>
    <w:bookmarkStart w:id="6" w:name="_Hlk210822443"/>
    <w:r w:rsidRPr="00B50FD0">
      <w:rPr>
        <w:rFonts w:ascii="Times New Roman" w:eastAsia="Times New Roman" w:hAnsi="Times New Roman" w:cs="Times New Roman"/>
        <w:sz w:val="16"/>
        <w:szCs w:val="16"/>
      </w:rPr>
      <w:t>The Review of DIABETIC STUDIES</w:t>
    </w:r>
  </w:p>
  <w:p w14:paraId="23906610" w14:textId="78A6CC4D" w:rsidR="00473AF0" w:rsidRPr="005B2D2B" w:rsidRDefault="00473AF0" w:rsidP="00473AF0">
    <w:pPr>
      <w:tabs>
        <w:tab w:val="center" w:pos="4680"/>
        <w:tab w:val="right" w:pos="9360"/>
      </w:tabs>
      <w:spacing w:after="0"/>
      <w:jc w:val="center"/>
      <w:rPr>
        <w:rFonts w:ascii="Times New Roman" w:eastAsia="Times New Roman" w:hAnsi="Times New Roman" w:cs="Times New Roman"/>
        <w:sz w:val="16"/>
        <w:szCs w:val="16"/>
      </w:rPr>
    </w:pPr>
    <w:bookmarkStart w:id="7" w:name="_Hlk209945177"/>
    <w:bookmarkEnd w:id="0"/>
    <w:r w:rsidRPr="00B50FD0">
      <w:rPr>
        <w:rFonts w:ascii="Times New Roman" w:eastAsia="Times New Roman" w:hAnsi="Times New Roman" w:cs="Times New Roman"/>
        <w:sz w:val="16"/>
        <w:szCs w:val="16"/>
      </w:rPr>
      <w:t>Vol. 21 No. S</w:t>
    </w:r>
    <w:r>
      <w:rPr>
        <w:rFonts w:ascii="Times New Roman" w:eastAsia="Times New Roman" w:hAnsi="Times New Roman" w:cs="Times New Roman"/>
        <w:sz w:val="16"/>
        <w:szCs w:val="16"/>
      </w:rPr>
      <w:t xml:space="preserve">2 </w:t>
    </w:r>
    <w:r w:rsidRPr="00B50FD0">
      <w:rPr>
        <w:rFonts w:ascii="Times New Roman" w:eastAsia="Times New Roman" w:hAnsi="Times New Roman" w:cs="Times New Roman"/>
        <w:sz w:val="16"/>
        <w:szCs w:val="16"/>
      </w:rPr>
      <w:t>2025</w:t>
    </w:r>
    <w:bookmarkEnd w:id="1"/>
  </w:p>
  <w:bookmarkEnd w:id="2"/>
  <w:bookmarkEnd w:id="3"/>
  <w:bookmarkEnd w:id="4"/>
  <w:bookmarkEnd w:id="5"/>
  <w:bookmarkEnd w:id="6"/>
  <w:bookmarkEnd w:id="7"/>
  <w:p w14:paraId="3AB2B03E" w14:textId="77777777" w:rsidR="00473AF0" w:rsidRDefault="00473A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D93A" w14:textId="77777777" w:rsidR="00473AF0" w:rsidRPr="008E3B60" w:rsidRDefault="00473AF0" w:rsidP="00473AF0">
    <w:pPr>
      <w:tabs>
        <w:tab w:val="center" w:pos="4680"/>
        <w:tab w:val="right" w:pos="9360"/>
      </w:tabs>
      <w:spacing w:after="0" w:line="240" w:lineRule="auto"/>
      <w:jc w:val="both"/>
      <w:rPr>
        <w:rFonts w:ascii="Georgia" w:eastAsia="Times New Roman" w:hAnsi="Georgia" w:cs="Times New Roman"/>
        <w:sz w:val="11"/>
        <w:szCs w:val="11"/>
      </w:rPr>
    </w:pPr>
    <w:r w:rsidRPr="008E3B60">
      <w:rPr>
        <w:rFonts w:ascii="Georgia" w:eastAsia="Times New Roman" w:hAnsi="Georgia" w:cs="Times New Roman"/>
        <w:sz w:val="11"/>
        <w:szCs w:val="11"/>
      </w:rPr>
      <w:t xml:space="preserve">   </w:t>
    </w:r>
    <w:bookmarkStart w:id="8" w:name="_Hlk209945441"/>
    <w:bookmarkStart w:id="9" w:name="_Hlk210300716"/>
    <w:bookmarkStart w:id="10" w:name="_Hlk209944404"/>
    <w:r w:rsidRPr="008E3B60">
      <w:rPr>
        <w:rFonts w:ascii="Georgia" w:eastAsia="Times New Roman" w:hAnsi="Georgia" w:cs="Times New Roman"/>
        <w:sz w:val="11"/>
        <w:szCs w:val="11"/>
      </w:rPr>
      <w:t xml:space="preserve">The Review Of </w:t>
    </w:r>
  </w:p>
  <w:p w14:paraId="3CFE580B" w14:textId="77777777" w:rsidR="00473AF0" w:rsidRPr="008E3B60" w:rsidRDefault="00473AF0" w:rsidP="00473AF0">
    <w:pPr>
      <w:tabs>
        <w:tab w:val="center" w:pos="4680"/>
        <w:tab w:val="right" w:pos="9360"/>
      </w:tabs>
      <w:spacing w:after="0" w:line="240" w:lineRule="auto"/>
      <w:jc w:val="both"/>
      <w:rPr>
        <w:rFonts w:ascii="Times New Roman" w:eastAsia="Times New Roman" w:hAnsi="Times New Roman" w:cs="Times New Roman"/>
        <w:sz w:val="32"/>
        <w:szCs w:val="28"/>
      </w:rPr>
    </w:pPr>
    <w:r w:rsidRPr="008E3B60">
      <w:rPr>
        <w:rFonts w:ascii="Times New Roman" w:eastAsia="Times New Roman" w:hAnsi="Times New Roman" w:cs="Times New Roman"/>
        <w:sz w:val="32"/>
        <w:szCs w:val="28"/>
      </w:rPr>
      <w:t xml:space="preserve">DIABETIC </w:t>
    </w:r>
  </w:p>
  <w:p w14:paraId="04846CE6" w14:textId="1F668C3C" w:rsidR="00473AF0" w:rsidRDefault="00473AF0" w:rsidP="00473AF0">
    <w:pPr>
      <w:tabs>
        <w:tab w:val="center" w:pos="4680"/>
        <w:tab w:val="right" w:pos="9360"/>
      </w:tabs>
      <w:spacing w:after="0" w:line="240" w:lineRule="auto"/>
      <w:jc w:val="both"/>
      <w:rPr>
        <w:rFonts w:ascii="Times New Roman" w:eastAsia="Times New Roman" w:hAnsi="Times New Roman" w:cs="Times New Roman"/>
        <w:sz w:val="32"/>
        <w:szCs w:val="28"/>
        <w:u w:val="single"/>
      </w:rPr>
    </w:pPr>
    <w:r w:rsidRPr="008E3B60">
      <w:rPr>
        <w:rFonts w:ascii="Times New Roman" w:eastAsia="Times New Roman" w:hAnsi="Times New Roman" w:cs="Times New Roman"/>
        <w:sz w:val="32"/>
        <w:szCs w:val="28"/>
      </w:rPr>
      <w:t xml:space="preserve">    STUDIES</w:t>
    </w:r>
    <w:r w:rsidRPr="008E3B60">
      <w:rPr>
        <w:rFonts w:ascii="Times New Roman" w:eastAsia="Times New Roman" w:hAnsi="Times New Roman" w:cs="Times New Roman"/>
        <w:sz w:val="32"/>
        <w:szCs w:val="28"/>
        <w:u w:val="single"/>
      </w:rPr>
      <w:t xml:space="preserve">                </w:t>
    </w:r>
    <w:r>
      <w:rPr>
        <w:rFonts w:ascii="Times New Roman" w:eastAsia="Times New Roman" w:hAnsi="Times New Roman" w:cs="Times New Roman"/>
        <w:sz w:val="32"/>
        <w:szCs w:val="28"/>
        <w:u w:val="single"/>
      </w:rPr>
      <w:t xml:space="preserve">           </w:t>
    </w:r>
    <w:r w:rsidRPr="008E3B60">
      <w:rPr>
        <w:rFonts w:ascii="Times New Roman" w:eastAsia="Times New Roman" w:hAnsi="Times New Roman" w:cs="Times New Roman"/>
        <w:sz w:val="32"/>
        <w:szCs w:val="28"/>
        <w:u w:val="single"/>
      </w:rPr>
      <w:t xml:space="preserve">   </w:t>
    </w:r>
    <w:r>
      <w:rPr>
        <w:rFonts w:ascii="Times New Roman" w:eastAsia="Times New Roman" w:hAnsi="Times New Roman" w:cs="Times New Roman"/>
        <w:sz w:val="32"/>
        <w:szCs w:val="28"/>
        <w:u w:val="single"/>
      </w:rPr>
      <w:t xml:space="preserve"> </w:t>
    </w:r>
    <w:r w:rsidRPr="008E3B60">
      <w:rPr>
        <w:rFonts w:ascii="Times New Roman" w:eastAsia="Times New Roman" w:hAnsi="Times New Roman" w:cs="Times New Roman"/>
        <w:sz w:val="32"/>
        <w:szCs w:val="28"/>
        <w:u w:val="single"/>
      </w:rPr>
      <w:t xml:space="preserve">                                    OPEN ACCESS</w:t>
    </w:r>
    <w:bookmarkEnd w:id="8"/>
    <w:bookmarkEnd w:id="9"/>
    <w:bookmarkEnd w:id="10"/>
  </w:p>
  <w:p w14:paraId="451C6287" w14:textId="77777777" w:rsidR="00473AF0" w:rsidRDefault="00473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94C63"/>
    <w:multiLevelType w:val="multilevel"/>
    <w:tmpl w:val="4CAA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D4F6E"/>
    <w:multiLevelType w:val="multilevel"/>
    <w:tmpl w:val="B8B23C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F502B"/>
    <w:multiLevelType w:val="multilevel"/>
    <w:tmpl w:val="97262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296C0A"/>
    <w:multiLevelType w:val="multilevel"/>
    <w:tmpl w:val="09AA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A7255"/>
    <w:multiLevelType w:val="multilevel"/>
    <w:tmpl w:val="14E2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A0FAE"/>
    <w:multiLevelType w:val="multilevel"/>
    <w:tmpl w:val="98A0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347EEC"/>
    <w:multiLevelType w:val="multilevel"/>
    <w:tmpl w:val="F664F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8D4C52"/>
    <w:multiLevelType w:val="multilevel"/>
    <w:tmpl w:val="39FCE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2916D9"/>
    <w:multiLevelType w:val="hybridMultilevel"/>
    <w:tmpl w:val="90349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0966938">
    <w:abstractNumId w:val="7"/>
  </w:num>
  <w:num w:numId="2" w16cid:durableId="1998874410">
    <w:abstractNumId w:val="2"/>
  </w:num>
  <w:num w:numId="3" w16cid:durableId="2026863825">
    <w:abstractNumId w:val="0"/>
  </w:num>
  <w:num w:numId="4" w16cid:durableId="343482848">
    <w:abstractNumId w:val="3"/>
  </w:num>
  <w:num w:numId="5" w16cid:durableId="1842819486">
    <w:abstractNumId w:val="4"/>
  </w:num>
  <w:num w:numId="6" w16cid:durableId="815219734">
    <w:abstractNumId w:val="5"/>
  </w:num>
  <w:num w:numId="7" w16cid:durableId="1963227961">
    <w:abstractNumId w:val="6"/>
  </w:num>
  <w:num w:numId="8" w16cid:durableId="1168906469">
    <w:abstractNumId w:val="8"/>
  </w:num>
  <w:num w:numId="9" w16cid:durableId="2139299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2AD"/>
    <w:rsid w:val="00010744"/>
    <w:rsid w:val="00170BD3"/>
    <w:rsid w:val="002372B6"/>
    <w:rsid w:val="002838FF"/>
    <w:rsid w:val="002947FD"/>
    <w:rsid w:val="002C0C0B"/>
    <w:rsid w:val="003B2307"/>
    <w:rsid w:val="00455663"/>
    <w:rsid w:val="00462A2E"/>
    <w:rsid w:val="00473AF0"/>
    <w:rsid w:val="004B0029"/>
    <w:rsid w:val="005507D7"/>
    <w:rsid w:val="00561E95"/>
    <w:rsid w:val="00653A99"/>
    <w:rsid w:val="00664340"/>
    <w:rsid w:val="006A22AD"/>
    <w:rsid w:val="006E4822"/>
    <w:rsid w:val="006E7367"/>
    <w:rsid w:val="00777136"/>
    <w:rsid w:val="007F23E5"/>
    <w:rsid w:val="00805458"/>
    <w:rsid w:val="008217CD"/>
    <w:rsid w:val="008633CD"/>
    <w:rsid w:val="008D183D"/>
    <w:rsid w:val="008E77EC"/>
    <w:rsid w:val="00B646D4"/>
    <w:rsid w:val="00B87DA5"/>
    <w:rsid w:val="00BA1BB3"/>
    <w:rsid w:val="00D320E2"/>
    <w:rsid w:val="00FF79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CFBD4"/>
  <w15:chartTrackingRefBased/>
  <w15:docId w15:val="{4C53A6AE-A678-4C71-892C-2A6AC8A9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2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22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22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22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22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22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2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2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2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2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22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22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22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22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22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2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2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2AD"/>
    <w:rPr>
      <w:rFonts w:eastAsiaTheme="majorEastAsia" w:cstheme="majorBidi"/>
      <w:color w:val="272727" w:themeColor="text1" w:themeTint="D8"/>
    </w:rPr>
  </w:style>
  <w:style w:type="paragraph" w:styleId="Title">
    <w:name w:val="Title"/>
    <w:basedOn w:val="Normal"/>
    <w:next w:val="Normal"/>
    <w:link w:val="TitleChar"/>
    <w:uiPriority w:val="10"/>
    <w:qFormat/>
    <w:rsid w:val="006A22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2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2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2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2AD"/>
    <w:pPr>
      <w:spacing w:before="160"/>
      <w:jc w:val="center"/>
    </w:pPr>
    <w:rPr>
      <w:i/>
      <w:iCs/>
      <w:color w:val="404040" w:themeColor="text1" w:themeTint="BF"/>
    </w:rPr>
  </w:style>
  <w:style w:type="character" w:customStyle="1" w:styleId="QuoteChar">
    <w:name w:val="Quote Char"/>
    <w:basedOn w:val="DefaultParagraphFont"/>
    <w:link w:val="Quote"/>
    <w:uiPriority w:val="29"/>
    <w:rsid w:val="006A22AD"/>
    <w:rPr>
      <w:i/>
      <w:iCs/>
      <w:color w:val="404040" w:themeColor="text1" w:themeTint="BF"/>
    </w:rPr>
  </w:style>
  <w:style w:type="paragraph" w:styleId="ListParagraph">
    <w:name w:val="List Paragraph"/>
    <w:basedOn w:val="Normal"/>
    <w:uiPriority w:val="34"/>
    <w:qFormat/>
    <w:rsid w:val="006A22AD"/>
    <w:pPr>
      <w:ind w:left="720"/>
      <w:contextualSpacing/>
    </w:pPr>
  </w:style>
  <w:style w:type="character" w:styleId="IntenseEmphasis">
    <w:name w:val="Intense Emphasis"/>
    <w:basedOn w:val="DefaultParagraphFont"/>
    <w:uiPriority w:val="21"/>
    <w:qFormat/>
    <w:rsid w:val="006A22AD"/>
    <w:rPr>
      <w:i/>
      <w:iCs/>
      <w:color w:val="2F5496" w:themeColor="accent1" w:themeShade="BF"/>
    </w:rPr>
  </w:style>
  <w:style w:type="paragraph" w:styleId="IntenseQuote">
    <w:name w:val="Intense Quote"/>
    <w:basedOn w:val="Normal"/>
    <w:next w:val="Normal"/>
    <w:link w:val="IntenseQuoteChar"/>
    <w:uiPriority w:val="30"/>
    <w:qFormat/>
    <w:rsid w:val="006A22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22AD"/>
    <w:rPr>
      <w:i/>
      <w:iCs/>
      <w:color w:val="2F5496" w:themeColor="accent1" w:themeShade="BF"/>
    </w:rPr>
  </w:style>
  <w:style w:type="character" w:styleId="IntenseReference">
    <w:name w:val="Intense Reference"/>
    <w:basedOn w:val="DefaultParagraphFont"/>
    <w:uiPriority w:val="32"/>
    <w:qFormat/>
    <w:rsid w:val="006A22AD"/>
    <w:rPr>
      <w:b/>
      <w:bCs/>
      <w:smallCaps/>
      <w:color w:val="2F5496" w:themeColor="accent1" w:themeShade="BF"/>
      <w:spacing w:val="5"/>
    </w:rPr>
  </w:style>
  <w:style w:type="paragraph" w:styleId="NormalWeb">
    <w:name w:val="Normal (Web)"/>
    <w:basedOn w:val="Normal"/>
    <w:uiPriority w:val="99"/>
    <w:semiHidden/>
    <w:unhideWhenUsed/>
    <w:rsid w:val="0066434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664340"/>
    <w:rPr>
      <w:i/>
      <w:iCs/>
    </w:rPr>
  </w:style>
  <w:style w:type="table" w:styleId="TableGrid">
    <w:name w:val="Table Grid"/>
    <w:basedOn w:val="TableNormal"/>
    <w:uiPriority w:val="39"/>
    <w:rsid w:val="00664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B2307"/>
    <w:pPr>
      <w:spacing w:after="200" w:line="240" w:lineRule="auto"/>
    </w:pPr>
    <w:rPr>
      <w:i/>
      <w:iCs/>
      <w:color w:val="44546A" w:themeColor="text2"/>
      <w:sz w:val="18"/>
      <w:szCs w:val="18"/>
    </w:rPr>
  </w:style>
  <w:style w:type="character" w:styleId="Hyperlink">
    <w:name w:val="Hyperlink"/>
    <w:basedOn w:val="DefaultParagraphFont"/>
    <w:uiPriority w:val="99"/>
    <w:unhideWhenUsed/>
    <w:rsid w:val="006E4822"/>
    <w:rPr>
      <w:color w:val="0563C1" w:themeColor="hyperlink"/>
      <w:u w:val="single"/>
    </w:rPr>
  </w:style>
  <w:style w:type="character" w:styleId="UnresolvedMention">
    <w:name w:val="Unresolved Mention"/>
    <w:basedOn w:val="DefaultParagraphFont"/>
    <w:uiPriority w:val="99"/>
    <w:semiHidden/>
    <w:unhideWhenUsed/>
    <w:rsid w:val="006E4822"/>
    <w:rPr>
      <w:color w:val="605E5C"/>
      <w:shd w:val="clear" w:color="auto" w:fill="E1DFDD"/>
    </w:rPr>
  </w:style>
  <w:style w:type="paragraph" w:styleId="Header">
    <w:name w:val="header"/>
    <w:basedOn w:val="Normal"/>
    <w:link w:val="HeaderChar"/>
    <w:uiPriority w:val="99"/>
    <w:unhideWhenUsed/>
    <w:rsid w:val="00473A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AF0"/>
  </w:style>
  <w:style w:type="paragraph" w:styleId="Footer">
    <w:name w:val="footer"/>
    <w:basedOn w:val="Normal"/>
    <w:link w:val="FooterChar"/>
    <w:uiPriority w:val="99"/>
    <w:unhideWhenUsed/>
    <w:rsid w:val="00473A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3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42914">
      <w:bodyDiv w:val="1"/>
      <w:marLeft w:val="0"/>
      <w:marRight w:val="0"/>
      <w:marTop w:val="0"/>
      <w:marBottom w:val="0"/>
      <w:divBdr>
        <w:top w:val="none" w:sz="0" w:space="0" w:color="auto"/>
        <w:left w:val="none" w:sz="0" w:space="0" w:color="auto"/>
        <w:bottom w:val="none" w:sz="0" w:space="0" w:color="auto"/>
        <w:right w:val="none" w:sz="0" w:space="0" w:color="auto"/>
      </w:divBdr>
    </w:div>
    <w:div w:id="103695316">
      <w:bodyDiv w:val="1"/>
      <w:marLeft w:val="0"/>
      <w:marRight w:val="0"/>
      <w:marTop w:val="0"/>
      <w:marBottom w:val="0"/>
      <w:divBdr>
        <w:top w:val="none" w:sz="0" w:space="0" w:color="auto"/>
        <w:left w:val="none" w:sz="0" w:space="0" w:color="auto"/>
        <w:bottom w:val="none" w:sz="0" w:space="0" w:color="auto"/>
        <w:right w:val="none" w:sz="0" w:space="0" w:color="auto"/>
      </w:divBdr>
    </w:div>
    <w:div w:id="117073045">
      <w:bodyDiv w:val="1"/>
      <w:marLeft w:val="0"/>
      <w:marRight w:val="0"/>
      <w:marTop w:val="0"/>
      <w:marBottom w:val="0"/>
      <w:divBdr>
        <w:top w:val="none" w:sz="0" w:space="0" w:color="auto"/>
        <w:left w:val="none" w:sz="0" w:space="0" w:color="auto"/>
        <w:bottom w:val="none" w:sz="0" w:space="0" w:color="auto"/>
        <w:right w:val="none" w:sz="0" w:space="0" w:color="auto"/>
      </w:divBdr>
    </w:div>
    <w:div w:id="255943056">
      <w:bodyDiv w:val="1"/>
      <w:marLeft w:val="0"/>
      <w:marRight w:val="0"/>
      <w:marTop w:val="0"/>
      <w:marBottom w:val="0"/>
      <w:divBdr>
        <w:top w:val="none" w:sz="0" w:space="0" w:color="auto"/>
        <w:left w:val="none" w:sz="0" w:space="0" w:color="auto"/>
        <w:bottom w:val="none" w:sz="0" w:space="0" w:color="auto"/>
        <w:right w:val="none" w:sz="0" w:space="0" w:color="auto"/>
      </w:divBdr>
    </w:div>
    <w:div w:id="312607935">
      <w:bodyDiv w:val="1"/>
      <w:marLeft w:val="0"/>
      <w:marRight w:val="0"/>
      <w:marTop w:val="0"/>
      <w:marBottom w:val="0"/>
      <w:divBdr>
        <w:top w:val="none" w:sz="0" w:space="0" w:color="auto"/>
        <w:left w:val="none" w:sz="0" w:space="0" w:color="auto"/>
        <w:bottom w:val="none" w:sz="0" w:space="0" w:color="auto"/>
        <w:right w:val="none" w:sz="0" w:space="0" w:color="auto"/>
      </w:divBdr>
    </w:div>
    <w:div w:id="460614830">
      <w:bodyDiv w:val="1"/>
      <w:marLeft w:val="0"/>
      <w:marRight w:val="0"/>
      <w:marTop w:val="0"/>
      <w:marBottom w:val="0"/>
      <w:divBdr>
        <w:top w:val="none" w:sz="0" w:space="0" w:color="auto"/>
        <w:left w:val="none" w:sz="0" w:space="0" w:color="auto"/>
        <w:bottom w:val="none" w:sz="0" w:space="0" w:color="auto"/>
        <w:right w:val="none" w:sz="0" w:space="0" w:color="auto"/>
      </w:divBdr>
      <w:divsChild>
        <w:div w:id="140847577">
          <w:marLeft w:val="0"/>
          <w:marRight w:val="0"/>
          <w:marTop w:val="0"/>
          <w:marBottom w:val="0"/>
          <w:divBdr>
            <w:top w:val="none" w:sz="0" w:space="0" w:color="auto"/>
            <w:left w:val="none" w:sz="0" w:space="0" w:color="auto"/>
            <w:bottom w:val="none" w:sz="0" w:space="0" w:color="auto"/>
            <w:right w:val="none" w:sz="0" w:space="0" w:color="auto"/>
          </w:divBdr>
          <w:divsChild>
            <w:div w:id="17845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24124">
      <w:bodyDiv w:val="1"/>
      <w:marLeft w:val="0"/>
      <w:marRight w:val="0"/>
      <w:marTop w:val="0"/>
      <w:marBottom w:val="0"/>
      <w:divBdr>
        <w:top w:val="none" w:sz="0" w:space="0" w:color="auto"/>
        <w:left w:val="none" w:sz="0" w:space="0" w:color="auto"/>
        <w:bottom w:val="none" w:sz="0" w:space="0" w:color="auto"/>
        <w:right w:val="none" w:sz="0" w:space="0" w:color="auto"/>
      </w:divBdr>
      <w:divsChild>
        <w:div w:id="1301228248">
          <w:marLeft w:val="0"/>
          <w:marRight w:val="0"/>
          <w:marTop w:val="0"/>
          <w:marBottom w:val="0"/>
          <w:divBdr>
            <w:top w:val="none" w:sz="0" w:space="0" w:color="auto"/>
            <w:left w:val="none" w:sz="0" w:space="0" w:color="auto"/>
            <w:bottom w:val="none" w:sz="0" w:space="0" w:color="auto"/>
            <w:right w:val="none" w:sz="0" w:space="0" w:color="auto"/>
          </w:divBdr>
          <w:divsChild>
            <w:div w:id="57724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79811">
      <w:bodyDiv w:val="1"/>
      <w:marLeft w:val="0"/>
      <w:marRight w:val="0"/>
      <w:marTop w:val="0"/>
      <w:marBottom w:val="0"/>
      <w:divBdr>
        <w:top w:val="none" w:sz="0" w:space="0" w:color="auto"/>
        <w:left w:val="none" w:sz="0" w:space="0" w:color="auto"/>
        <w:bottom w:val="none" w:sz="0" w:space="0" w:color="auto"/>
        <w:right w:val="none" w:sz="0" w:space="0" w:color="auto"/>
      </w:divBdr>
    </w:div>
    <w:div w:id="953564113">
      <w:bodyDiv w:val="1"/>
      <w:marLeft w:val="0"/>
      <w:marRight w:val="0"/>
      <w:marTop w:val="0"/>
      <w:marBottom w:val="0"/>
      <w:divBdr>
        <w:top w:val="none" w:sz="0" w:space="0" w:color="auto"/>
        <w:left w:val="none" w:sz="0" w:space="0" w:color="auto"/>
        <w:bottom w:val="none" w:sz="0" w:space="0" w:color="auto"/>
        <w:right w:val="none" w:sz="0" w:space="0" w:color="auto"/>
      </w:divBdr>
    </w:div>
    <w:div w:id="1101340859">
      <w:bodyDiv w:val="1"/>
      <w:marLeft w:val="0"/>
      <w:marRight w:val="0"/>
      <w:marTop w:val="0"/>
      <w:marBottom w:val="0"/>
      <w:divBdr>
        <w:top w:val="none" w:sz="0" w:space="0" w:color="auto"/>
        <w:left w:val="none" w:sz="0" w:space="0" w:color="auto"/>
        <w:bottom w:val="none" w:sz="0" w:space="0" w:color="auto"/>
        <w:right w:val="none" w:sz="0" w:space="0" w:color="auto"/>
      </w:divBdr>
    </w:div>
    <w:div w:id="1268923738">
      <w:bodyDiv w:val="1"/>
      <w:marLeft w:val="0"/>
      <w:marRight w:val="0"/>
      <w:marTop w:val="0"/>
      <w:marBottom w:val="0"/>
      <w:divBdr>
        <w:top w:val="none" w:sz="0" w:space="0" w:color="auto"/>
        <w:left w:val="none" w:sz="0" w:space="0" w:color="auto"/>
        <w:bottom w:val="none" w:sz="0" w:space="0" w:color="auto"/>
        <w:right w:val="none" w:sz="0" w:space="0" w:color="auto"/>
      </w:divBdr>
    </w:div>
    <w:div w:id="1326009268">
      <w:bodyDiv w:val="1"/>
      <w:marLeft w:val="0"/>
      <w:marRight w:val="0"/>
      <w:marTop w:val="0"/>
      <w:marBottom w:val="0"/>
      <w:divBdr>
        <w:top w:val="none" w:sz="0" w:space="0" w:color="auto"/>
        <w:left w:val="none" w:sz="0" w:space="0" w:color="auto"/>
        <w:bottom w:val="none" w:sz="0" w:space="0" w:color="auto"/>
        <w:right w:val="none" w:sz="0" w:space="0" w:color="auto"/>
      </w:divBdr>
    </w:div>
    <w:div w:id="1447843992">
      <w:bodyDiv w:val="1"/>
      <w:marLeft w:val="0"/>
      <w:marRight w:val="0"/>
      <w:marTop w:val="0"/>
      <w:marBottom w:val="0"/>
      <w:divBdr>
        <w:top w:val="none" w:sz="0" w:space="0" w:color="auto"/>
        <w:left w:val="none" w:sz="0" w:space="0" w:color="auto"/>
        <w:bottom w:val="none" w:sz="0" w:space="0" w:color="auto"/>
        <w:right w:val="none" w:sz="0" w:space="0" w:color="auto"/>
      </w:divBdr>
    </w:div>
    <w:div w:id="1706521929">
      <w:bodyDiv w:val="1"/>
      <w:marLeft w:val="0"/>
      <w:marRight w:val="0"/>
      <w:marTop w:val="0"/>
      <w:marBottom w:val="0"/>
      <w:divBdr>
        <w:top w:val="none" w:sz="0" w:space="0" w:color="auto"/>
        <w:left w:val="none" w:sz="0" w:space="0" w:color="auto"/>
        <w:bottom w:val="none" w:sz="0" w:space="0" w:color="auto"/>
        <w:right w:val="none" w:sz="0" w:space="0" w:color="auto"/>
      </w:divBdr>
      <w:divsChild>
        <w:div w:id="1363552371">
          <w:marLeft w:val="0"/>
          <w:marRight w:val="0"/>
          <w:marTop w:val="0"/>
          <w:marBottom w:val="0"/>
          <w:divBdr>
            <w:top w:val="none" w:sz="0" w:space="0" w:color="auto"/>
            <w:left w:val="none" w:sz="0" w:space="0" w:color="auto"/>
            <w:bottom w:val="none" w:sz="0" w:space="0" w:color="auto"/>
            <w:right w:val="none" w:sz="0" w:space="0" w:color="auto"/>
          </w:divBdr>
          <w:divsChild>
            <w:div w:id="153165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434474">
      <w:bodyDiv w:val="1"/>
      <w:marLeft w:val="0"/>
      <w:marRight w:val="0"/>
      <w:marTop w:val="0"/>
      <w:marBottom w:val="0"/>
      <w:divBdr>
        <w:top w:val="none" w:sz="0" w:space="0" w:color="auto"/>
        <w:left w:val="none" w:sz="0" w:space="0" w:color="auto"/>
        <w:bottom w:val="none" w:sz="0" w:space="0" w:color="auto"/>
        <w:right w:val="none" w:sz="0" w:space="0" w:color="auto"/>
      </w:divBdr>
    </w:div>
    <w:div w:id="1958220708">
      <w:bodyDiv w:val="1"/>
      <w:marLeft w:val="0"/>
      <w:marRight w:val="0"/>
      <w:marTop w:val="0"/>
      <w:marBottom w:val="0"/>
      <w:divBdr>
        <w:top w:val="none" w:sz="0" w:space="0" w:color="auto"/>
        <w:left w:val="none" w:sz="0" w:space="0" w:color="auto"/>
        <w:bottom w:val="none" w:sz="0" w:space="0" w:color="auto"/>
        <w:right w:val="none" w:sz="0" w:space="0" w:color="auto"/>
      </w:divBdr>
    </w:div>
    <w:div w:id="1999649989">
      <w:bodyDiv w:val="1"/>
      <w:marLeft w:val="0"/>
      <w:marRight w:val="0"/>
      <w:marTop w:val="0"/>
      <w:marBottom w:val="0"/>
      <w:divBdr>
        <w:top w:val="none" w:sz="0" w:space="0" w:color="auto"/>
        <w:left w:val="none" w:sz="0" w:space="0" w:color="auto"/>
        <w:bottom w:val="none" w:sz="0" w:space="0" w:color="auto"/>
        <w:right w:val="none" w:sz="0" w:space="0" w:color="auto"/>
      </w:divBdr>
      <w:divsChild>
        <w:div w:id="2008049422">
          <w:marLeft w:val="0"/>
          <w:marRight w:val="0"/>
          <w:marTop w:val="0"/>
          <w:marBottom w:val="0"/>
          <w:divBdr>
            <w:top w:val="none" w:sz="0" w:space="0" w:color="auto"/>
            <w:left w:val="none" w:sz="0" w:space="0" w:color="auto"/>
            <w:bottom w:val="none" w:sz="0" w:space="0" w:color="auto"/>
            <w:right w:val="none" w:sz="0" w:space="0" w:color="auto"/>
          </w:divBdr>
          <w:divsChild>
            <w:div w:id="179039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DIABETICSTUDIES.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DIABETICSTUD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53E37-BF50-461D-B354-A5CE49235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4553</Words>
  <Characters>25958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 asem</dc:creator>
  <cp:keywords/>
  <dc:description/>
  <cp:lastModifiedBy>AMAN DHINGRA</cp:lastModifiedBy>
  <cp:revision>7</cp:revision>
  <cp:lastPrinted>2026-01-27T18:11:00Z</cp:lastPrinted>
  <dcterms:created xsi:type="dcterms:W3CDTF">2026-01-14T14:44:00Z</dcterms:created>
  <dcterms:modified xsi:type="dcterms:W3CDTF">2026-01-27T18:11:00Z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d5f7bf94-1671-4471-880e-de4472c22e1c</vt:lpwstr>
  </property>
</Properties>
</file>